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DD4C0" w14:textId="77777777" w:rsidR="00572AB0" w:rsidRDefault="00572AB0" w:rsidP="00572AB0"/>
    <w:p w14:paraId="42B7D6AD" w14:textId="77777777" w:rsidR="009D5058" w:rsidRDefault="009D5058" w:rsidP="00572AB0"/>
    <w:tbl>
      <w:tblPr>
        <w:tblW w:w="9640" w:type="dxa"/>
        <w:tblInd w:w="-497" w:type="dxa"/>
        <w:tblLayout w:type="fixed"/>
        <w:tblCellMar>
          <w:top w:w="57" w:type="dxa"/>
          <w:left w:w="70" w:type="dxa"/>
          <w:right w:w="70" w:type="dxa"/>
        </w:tblCellMar>
        <w:tblLook w:val="0000" w:firstRow="0" w:lastRow="0" w:firstColumn="0" w:lastColumn="0" w:noHBand="0" w:noVBand="0"/>
      </w:tblPr>
      <w:tblGrid>
        <w:gridCol w:w="9640"/>
      </w:tblGrid>
      <w:tr w:rsidR="009D5058" w:rsidRPr="00B8237D" w14:paraId="04DE9D15" w14:textId="77777777" w:rsidTr="00D960EE">
        <w:trPr>
          <w:cantSplit/>
        </w:trPr>
        <w:tc>
          <w:tcPr>
            <w:tcW w:w="9640" w:type="dxa"/>
          </w:tcPr>
          <w:p w14:paraId="06BFA2FD" w14:textId="77777777" w:rsidR="009D5058" w:rsidRPr="00291CE2" w:rsidRDefault="009D5058" w:rsidP="00D960EE">
            <w:bookmarkStart w:id="0" w:name="OLE_LINK1"/>
            <w:r>
              <w:rPr>
                <w:noProof/>
                <w:lang w:val="de-DE" w:eastAsia="de-DE" w:bidi="ar-SA"/>
              </w:rPr>
              <w:drawing>
                <wp:anchor distT="0" distB="0" distL="114300" distR="114300" simplePos="0" relativeHeight="251659264" behindDoc="0" locked="0" layoutInCell="1" allowOverlap="1" wp14:anchorId="44D8FC0F" wp14:editId="534AAE0E">
                  <wp:simplePos x="0" y="0"/>
                  <wp:positionH relativeFrom="column">
                    <wp:posOffset>2432079</wp:posOffset>
                  </wp:positionH>
                  <wp:positionV relativeFrom="paragraph">
                    <wp:posOffset>-36830</wp:posOffset>
                  </wp:positionV>
                  <wp:extent cx="1257300" cy="8070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80708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00DC7AB0" w14:textId="77777777" w:rsidR="009D5058" w:rsidRPr="00291CE2" w:rsidRDefault="009D5058" w:rsidP="00D960EE">
            <w:pPr>
              <w:jc w:val="center"/>
              <w:rPr>
                <w:b/>
                <w:sz w:val="28"/>
              </w:rPr>
            </w:pPr>
          </w:p>
          <w:p w14:paraId="255B5CF3" w14:textId="77777777" w:rsidR="009D5058" w:rsidRPr="00291CE2" w:rsidRDefault="009D5058" w:rsidP="00D960EE">
            <w:pPr>
              <w:jc w:val="center"/>
              <w:rPr>
                <w:b/>
                <w:sz w:val="28"/>
              </w:rPr>
            </w:pPr>
          </w:p>
          <w:p w14:paraId="3D0993CC" w14:textId="77777777" w:rsidR="009D5058" w:rsidRPr="00291CE2" w:rsidRDefault="009D5058" w:rsidP="00D960EE">
            <w:pPr>
              <w:jc w:val="center"/>
              <w:rPr>
                <w:b/>
                <w:sz w:val="28"/>
              </w:rPr>
            </w:pPr>
          </w:p>
          <w:p w14:paraId="3377BCF5" w14:textId="77777777" w:rsidR="009D5058" w:rsidRPr="00291CE2" w:rsidRDefault="009D5058" w:rsidP="00D960EE">
            <w:pPr>
              <w:jc w:val="center"/>
              <w:rPr>
                <w:b/>
                <w:sz w:val="28"/>
              </w:rPr>
            </w:pPr>
          </w:p>
          <w:p w14:paraId="1398DBDF" w14:textId="77777777" w:rsidR="009D5058" w:rsidRPr="00291CE2" w:rsidRDefault="009D5058" w:rsidP="00D960EE">
            <w:pPr>
              <w:jc w:val="center"/>
              <w:rPr>
                <w:b/>
                <w:sz w:val="28"/>
              </w:rPr>
            </w:pPr>
          </w:p>
          <w:p w14:paraId="6A37BDD2" w14:textId="77777777" w:rsidR="009D5058" w:rsidRPr="00291CE2" w:rsidRDefault="009D5058" w:rsidP="00D960EE">
            <w:pPr>
              <w:jc w:val="center"/>
              <w:rPr>
                <w:b/>
                <w:sz w:val="28"/>
              </w:rPr>
            </w:pPr>
          </w:p>
          <w:p w14:paraId="777A09E3" w14:textId="77777777" w:rsidR="009D5058" w:rsidRPr="00291CE2" w:rsidRDefault="009D5058" w:rsidP="00D960EE">
            <w:pPr>
              <w:jc w:val="center"/>
              <w:rPr>
                <w:b/>
                <w:sz w:val="28"/>
              </w:rPr>
            </w:pPr>
          </w:p>
          <w:p w14:paraId="1FDA392F" w14:textId="77777777" w:rsidR="009D5058" w:rsidRPr="00291CE2" w:rsidRDefault="009D5058" w:rsidP="00D960EE">
            <w:pPr>
              <w:jc w:val="center"/>
              <w:rPr>
                <w:b/>
                <w:sz w:val="28"/>
              </w:rPr>
            </w:pPr>
          </w:p>
          <w:p w14:paraId="11D09353" w14:textId="77777777" w:rsidR="009D5058" w:rsidRPr="00291CE2" w:rsidRDefault="009D5058" w:rsidP="00D960EE">
            <w:pPr>
              <w:jc w:val="center"/>
              <w:rPr>
                <w:b/>
                <w:sz w:val="28"/>
              </w:rPr>
            </w:pPr>
          </w:p>
          <w:p w14:paraId="09B08310" w14:textId="77777777" w:rsidR="009D5058" w:rsidRPr="00291CE2" w:rsidRDefault="009D5058" w:rsidP="00D960EE">
            <w:pPr>
              <w:jc w:val="center"/>
              <w:rPr>
                <w:b/>
                <w:sz w:val="28"/>
              </w:rPr>
            </w:pPr>
          </w:p>
          <w:p w14:paraId="53A0C139" w14:textId="77777777" w:rsidR="009D5058" w:rsidRPr="00291CE2" w:rsidRDefault="009D5058" w:rsidP="00D960EE">
            <w:pPr>
              <w:jc w:val="center"/>
              <w:rPr>
                <w:b/>
                <w:sz w:val="28"/>
              </w:rPr>
            </w:pPr>
          </w:p>
          <w:p w14:paraId="59217B53" w14:textId="77777777" w:rsidR="009D5058" w:rsidRPr="00743326" w:rsidRDefault="009D5058" w:rsidP="00D960EE">
            <w:pPr>
              <w:autoSpaceDE w:val="0"/>
              <w:autoSpaceDN w:val="0"/>
              <w:adjustRightInd w:val="0"/>
              <w:jc w:val="center"/>
              <w:rPr>
                <w:rFonts w:ascii="Verdana" w:hAnsi="Verdana" w:cs="Verdana-Bold"/>
                <w:b/>
                <w:bCs/>
                <w:sz w:val="20"/>
                <w:szCs w:val="20"/>
                <w:lang w:val="de-DE"/>
              </w:rPr>
            </w:pPr>
            <w:r w:rsidRPr="00743326">
              <w:rPr>
                <w:rFonts w:ascii="Verdana" w:hAnsi="Verdana" w:cs="Verdana-Bold"/>
                <w:b/>
                <w:bCs/>
                <w:sz w:val="20"/>
                <w:szCs w:val="20"/>
                <w:lang w:val="de-DE"/>
              </w:rPr>
              <w:t>Entwurf eines Beschlusses der Beschlusskammer</w:t>
            </w:r>
          </w:p>
          <w:p w14:paraId="74851443" w14:textId="77777777" w:rsidR="009D5058" w:rsidRPr="00743326" w:rsidRDefault="009D5058" w:rsidP="00D960EE">
            <w:pPr>
              <w:autoSpaceDE w:val="0"/>
              <w:autoSpaceDN w:val="0"/>
              <w:adjustRightInd w:val="0"/>
              <w:jc w:val="center"/>
              <w:rPr>
                <w:rFonts w:ascii="Verdana" w:hAnsi="Verdana" w:cs="Verdana-Bold"/>
                <w:b/>
                <w:bCs/>
                <w:sz w:val="20"/>
                <w:szCs w:val="20"/>
                <w:lang w:val="de-DE"/>
              </w:rPr>
            </w:pPr>
            <w:r w:rsidRPr="00743326">
              <w:rPr>
                <w:rFonts w:ascii="Verdana" w:hAnsi="Verdana" w:cs="Verdana-Bold"/>
                <w:b/>
                <w:bCs/>
                <w:sz w:val="20"/>
                <w:szCs w:val="20"/>
                <w:lang w:val="de-DE"/>
              </w:rPr>
              <w:t xml:space="preserve">des Medienrates der Deutschsprachigen Gemeinschaft Nr. 2015/X </w:t>
            </w:r>
          </w:p>
          <w:p w14:paraId="30674ADF" w14:textId="77777777" w:rsidR="009D5058" w:rsidRPr="00743326" w:rsidRDefault="009D5058" w:rsidP="00D960EE">
            <w:pPr>
              <w:autoSpaceDE w:val="0"/>
              <w:autoSpaceDN w:val="0"/>
              <w:adjustRightInd w:val="0"/>
              <w:jc w:val="center"/>
              <w:rPr>
                <w:rFonts w:ascii="Verdana" w:hAnsi="Verdana" w:cs="Verdana-Bold"/>
                <w:b/>
                <w:bCs/>
                <w:sz w:val="20"/>
                <w:szCs w:val="20"/>
                <w:lang w:val="de-DE"/>
              </w:rPr>
            </w:pPr>
            <w:r w:rsidRPr="00743326">
              <w:rPr>
                <w:rFonts w:ascii="Verdana" w:hAnsi="Verdana" w:cs="Verdana-Bold"/>
                <w:b/>
                <w:bCs/>
                <w:sz w:val="20"/>
                <w:szCs w:val="20"/>
                <w:lang w:val="de-DE"/>
              </w:rPr>
              <w:t>vom…</w:t>
            </w:r>
          </w:p>
          <w:p w14:paraId="05B022A9" w14:textId="77777777" w:rsidR="009D5058" w:rsidRPr="00B8237D" w:rsidRDefault="009D5058" w:rsidP="00D960EE">
            <w:pPr>
              <w:jc w:val="center"/>
              <w:rPr>
                <w:b/>
                <w:sz w:val="28"/>
                <w:lang w:val="de-DE"/>
              </w:rPr>
            </w:pPr>
            <w:r>
              <w:rPr>
                <w:rFonts w:ascii="Verdana" w:hAnsi="Verdana" w:cs="Verdana-Bold"/>
                <w:b/>
                <w:bCs/>
                <w:sz w:val="20"/>
                <w:szCs w:val="20"/>
                <w:lang w:val="de-DE"/>
              </w:rPr>
              <w:t xml:space="preserve">zur Genehmigung des Standardangebots von </w:t>
            </w:r>
            <w:proofErr w:type="spellStart"/>
            <w:r>
              <w:rPr>
                <w:rFonts w:ascii="Verdana" w:hAnsi="Verdana" w:cs="Verdana-Bold"/>
                <w:b/>
                <w:bCs/>
                <w:sz w:val="20"/>
                <w:szCs w:val="20"/>
                <w:lang w:val="de-DE"/>
              </w:rPr>
              <w:t>Nethys</w:t>
            </w:r>
            <w:proofErr w:type="spellEnd"/>
          </w:p>
          <w:p w14:paraId="512E521C" w14:textId="77777777" w:rsidR="009D5058" w:rsidRPr="00B8237D" w:rsidRDefault="009D5058" w:rsidP="00D960EE">
            <w:pPr>
              <w:rPr>
                <w:lang w:val="de-DE"/>
              </w:rPr>
            </w:pPr>
          </w:p>
          <w:p w14:paraId="7910D628" w14:textId="77777777" w:rsidR="009D5058" w:rsidRPr="00B8237D" w:rsidRDefault="009D5058" w:rsidP="00D960EE">
            <w:pPr>
              <w:rPr>
                <w:lang w:val="de-DE"/>
              </w:rPr>
            </w:pPr>
          </w:p>
          <w:p w14:paraId="15F4C282" w14:textId="77777777" w:rsidR="009D5058" w:rsidRPr="00B8237D" w:rsidRDefault="009D5058" w:rsidP="00D960EE">
            <w:pPr>
              <w:rPr>
                <w:lang w:val="de-DE"/>
              </w:rPr>
            </w:pPr>
          </w:p>
          <w:p w14:paraId="69D6A002" w14:textId="77777777" w:rsidR="009D5058" w:rsidRPr="00B8237D" w:rsidRDefault="009D5058" w:rsidP="00D960EE">
            <w:pPr>
              <w:rPr>
                <w:lang w:val="de-DE"/>
              </w:rPr>
            </w:pPr>
          </w:p>
          <w:p w14:paraId="69C56210" w14:textId="77777777" w:rsidR="009D5058" w:rsidRPr="00B8237D" w:rsidRDefault="009D5058" w:rsidP="00D960EE">
            <w:pPr>
              <w:rPr>
                <w:lang w:val="de-DE"/>
              </w:rPr>
            </w:pPr>
          </w:p>
          <w:p w14:paraId="544FEAE2" w14:textId="77777777" w:rsidR="009D5058" w:rsidRPr="00B8237D" w:rsidRDefault="009D5058" w:rsidP="00D960EE">
            <w:pPr>
              <w:rPr>
                <w:lang w:val="de-DE"/>
              </w:rPr>
            </w:pPr>
          </w:p>
          <w:p w14:paraId="18F2CF99" w14:textId="77777777" w:rsidR="009D5058" w:rsidRPr="00B8237D" w:rsidRDefault="009D5058" w:rsidP="00D960EE">
            <w:pPr>
              <w:jc w:val="center"/>
              <w:rPr>
                <w:lang w:val="de-DE"/>
              </w:rPr>
            </w:pPr>
            <w:r w:rsidRPr="00743326">
              <w:rPr>
                <w:rStyle w:val="hps"/>
                <w:rFonts w:ascii="Verdana" w:hAnsi="Verdana"/>
                <w:sz w:val="20"/>
                <w:szCs w:val="20"/>
                <w:lang w:val="de-DE"/>
              </w:rPr>
              <w:t>Zur Konsultation vorgelegte öffentliche Fassun</w:t>
            </w:r>
            <w:r>
              <w:rPr>
                <w:rStyle w:val="hps"/>
                <w:rFonts w:ascii="Verdana" w:hAnsi="Verdana"/>
                <w:sz w:val="20"/>
                <w:szCs w:val="20"/>
                <w:lang w:val="de-DE"/>
              </w:rPr>
              <w:t>g</w:t>
            </w:r>
          </w:p>
          <w:p w14:paraId="3612DED9" w14:textId="77777777" w:rsidR="009D5058" w:rsidRPr="00B8237D" w:rsidRDefault="009D5058" w:rsidP="00D960EE">
            <w:pPr>
              <w:rPr>
                <w:lang w:val="de-DE"/>
              </w:rPr>
            </w:pPr>
          </w:p>
          <w:p w14:paraId="0CFC0280" w14:textId="77777777" w:rsidR="009D5058" w:rsidRPr="00B8237D" w:rsidRDefault="009D5058" w:rsidP="00D960EE">
            <w:pPr>
              <w:rPr>
                <w:lang w:val="de-DE"/>
              </w:rPr>
            </w:pPr>
          </w:p>
          <w:p w14:paraId="3AF8AFE8" w14:textId="77777777" w:rsidR="009D5058" w:rsidRPr="00B8237D" w:rsidRDefault="009D5058" w:rsidP="00D960EE">
            <w:pPr>
              <w:rPr>
                <w:lang w:val="de-DE"/>
              </w:rPr>
            </w:pPr>
          </w:p>
          <w:p w14:paraId="71813517" w14:textId="77777777" w:rsidR="009D5058" w:rsidRPr="00B8237D" w:rsidRDefault="009D5058" w:rsidP="00D960EE">
            <w:pPr>
              <w:rPr>
                <w:lang w:val="de-DE"/>
              </w:rPr>
            </w:pPr>
          </w:p>
        </w:tc>
      </w:tr>
    </w:tbl>
    <w:p w14:paraId="6B3CED7E" w14:textId="77777777" w:rsidR="009D5058" w:rsidRDefault="009D5058" w:rsidP="009D5058">
      <w:pPr>
        <w:rPr>
          <w:lang w:val="de-DE"/>
        </w:rPr>
      </w:pPr>
    </w:p>
    <w:p w14:paraId="1B6FE3D3" w14:textId="77777777" w:rsidR="009D5058" w:rsidRDefault="009D5058" w:rsidP="009D5058">
      <w:pPr>
        <w:rPr>
          <w:lang w:val="de-DE"/>
        </w:rPr>
      </w:pPr>
    </w:p>
    <w:p w14:paraId="2E83E29B" w14:textId="77777777" w:rsidR="009D5058" w:rsidRDefault="009D5058" w:rsidP="009D5058">
      <w:pPr>
        <w:rPr>
          <w:lang w:val="de-DE"/>
        </w:rPr>
      </w:pPr>
    </w:p>
    <w:p w14:paraId="14991CB1" w14:textId="77777777" w:rsidR="009D5058" w:rsidRDefault="009D5058" w:rsidP="009D5058">
      <w:pPr>
        <w:rPr>
          <w:lang w:val="de-DE"/>
        </w:rPr>
      </w:pPr>
    </w:p>
    <w:p w14:paraId="50EE779C" w14:textId="77777777" w:rsidR="009D5058" w:rsidRDefault="009D5058" w:rsidP="009D5058">
      <w:pPr>
        <w:rPr>
          <w:lang w:val="de-DE"/>
        </w:rPr>
      </w:pPr>
    </w:p>
    <w:p w14:paraId="725040BE" w14:textId="77777777" w:rsidR="009D5058" w:rsidRDefault="009D5058" w:rsidP="009D5058">
      <w:pPr>
        <w:rPr>
          <w:lang w:val="de-DE"/>
        </w:rPr>
      </w:pPr>
    </w:p>
    <w:p w14:paraId="0BD0B0FD" w14:textId="77777777" w:rsidR="009D5058" w:rsidRDefault="009D5058" w:rsidP="009D5058">
      <w:pPr>
        <w:rPr>
          <w:lang w:val="de-DE"/>
        </w:rPr>
      </w:pPr>
    </w:p>
    <w:p w14:paraId="6022860B" w14:textId="77777777" w:rsidR="009D5058" w:rsidRDefault="009D5058" w:rsidP="009D5058">
      <w:pPr>
        <w:rPr>
          <w:lang w:val="de-DE"/>
        </w:rPr>
      </w:pPr>
    </w:p>
    <w:p w14:paraId="277D2D50" w14:textId="77777777" w:rsidR="009D5058" w:rsidRPr="00087B8B" w:rsidRDefault="009D5058" w:rsidP="009D5058">
      <w:pPr>
        <w:pBdr>
          <w:bottom w:val="single" w:sz="6" w:space="1" w:color="auto"/>
        </w:pBdr>
        <w:rPr>
          <w:rFonts w:ascii="Verdana" w:hAnsi="Verdana"/>
          <w:sz w:val="20"/>
          <w:szCs w:val="20"/>
          <w:lang w:val="de-DE"/>
        </w:rPr>
      </w:pPr>
    </w:p>
    <w:p w14:paraId="08401D53" w14:textId="327258ED" w:rsidR="009D5058" w:rsidRPr="00087B8B" w:rsidRDefault="009D5058" w:rsidP="009D5058">
      <w:pPr>
        <w:pStyle w:val="KeinLeerraum"/>
        <w:rPr>
          <w:rStyle w:val="hps"/>
          <w:rFonts w:ascii="Verdana" w:eastAsia="Calibri" w:hAnsi="Verdana"/>
          <w:sz w:val="20"/>
          <w:szCs w:val="20"/>
          <w:lang w:val="de-DE"/>
        </w:rPr>
      </w:pPr>
      <w:r w:rsidRPr="00087B8B">
        <w:rPr>
          <w:rStyle w:val="hps"/>
          <w:rFonts w:ascii="Verdana" w:eastAsia="Calibri" w:hAnsi="Verdana"/>
          <w:sz w:val="20"/>
          <w:szCs w:val="20"/>
          <w:lang w:val="de-DE"/>
        </w:rPr>
        <w:t xml:space="preserve">Antworten auf dieses Konsultationsdokument werden bis </w:t>
      </w:r>
      <w:r w:rsidRPr="00087B8B">
        <w:rPr>
          <w:rStyle w:val="hps"/>
          <w:rFonts w:ascii="Verdana" w:eastAsia="Calibri" w:hAnsi="Verdana"/>
          <w:color w:val="000000"/>
          <w:sz w:val="20"/>
          <w:szCs w:val="20"/>
          <w:lang w:val="de-DE"/>
        </w:rPr>
        <w:t xml:space="preserve">zum </w:t>
      </w:r>
      <w:r>
        <w:rPr>
          <w:rStyle w:val="hps"/>
          <w:rFonts w:ascii="Verdana" w:eastAsia="Calibri" w:hAnsi="Verdana"/>
          <w:b/>
          <w:color w:val="000000"/>
          <w:sz w:val="20"/>
          <w:szCs w:val="20"/>
          <w:lang w:val="de-DE"/>
        </w:rPr>
        <w:t xml:space="preserve">13. Oktober </w:t>
      </w:r>
      <w:r w:rsidRPr="00CC36A3">
        <w:rPr>
          <w:rStyle w:val="hps"/>
          <w:rFonts w:ascii="Verdana" w:eastAsia="Calibri" w:hAnsi="Verdana"/>
          <w:b/>
          <w:color w:val="000000"/>
          <w:sz w:val="20"/>
          <w:szCs w:val="20"/>
          <w:lang w:val="de-DE"/>
        </w:rPr>
        <w:t>2015</w:t>
      </w:r>
      <w:r>
        <w:rPr>
          <w:rStyle w:val="hps"/>
          <w:rFonts w:ascii="Verdana" w:eastAsia="Calibri" w:hAnsi="Verdana"/>
          <w:sz w:val="20"/>
          <w:szCs w:val="20"/>
          <w:lang w:val="de-DE"/>
        </w:rPr>
        <w:t xml:space="preserve"> erbeten.</w:t>
      </w:r>
    </w:p>
    <w:p w14:paraId="1EB1A2AA" w14:textId="77777777" w:rsidR="009D5058" w:rsidRDefault="009D5058" w:rsidP="009D5058">
      <w:pPr>
        <w:pStyle w:val="KeinLeerraum"/>
        <w:rPr>
          <w:rStyle w:val="hps"/>
          <w:rFonts w:ascii="Verdana" w:eastAsia="Calibri" w:hAnsi="Verdana"/>
          <w:sz w:val="20"/>
          <w:szCs w:val="20"/>
          <w:lang w:val="de-DE"/>
        </w:rPr>
      </w:pPr>
    </w:p>
    <w:p w14:paraId="1FBA1F5D" w14:textId="77777777" w:rsidR="009D5058" w:rsidRDefault="009D5058" w:rsidP="009D5058">
      <w:pPr>
        <w:pStyle w:val="KeinLeerraum"/>
        <w:rPr>
          <w:rStyle w:val="hps"/>
          <w:rFonts w:ascii="Verdana" w:eastAsia="Calibri" w:hAnsi="Verdana"/>
          <w:sz w:val="20"/>
          <w:szCs w:val="20"/>
          <w:lang w:val="de-DE"/>
        </w:rPr>
      </w:pPr>
      <w:r w:rsidRPr="00087B8B">
        <w:rPr>
          <w:rStyle w:val="hps"/>
          <w:rFonts w:ascii="Verdana" w:eastAsia="Calibri" w:hAnsi="Verdana"/>
          <w:sz w:val="20"/>
          <w:szCs w:val="20"/>
          <w:lang w:val="de-DE"/>
        </w:rPr>
        <w:t>Ansprechpartner</w:t>
      </w:r>
      <w:r>
        <w:rPr>
          <w:rStyle w:val="hps"/>
          <w:rFonts w:ascii="Verdana" w:eastAsia="Calibri" w:hAnsi="Verdana"/>
          <w:sz w:val="20"/>
          <w:szCs w:val="20"/>
          <w:lang w:val="de-DE"/>
        </w:rPr>
        <w:t xml:space="preserve"> ist Herr</w:t>
      </w:r>
      <w:r w:rsidRPr="00087B8B">
        <w:rPr>
          <w:rFonts w:ascii="Verdana" w:hAnsi="Verdana"/>
          <w:sz w:val="20"/>
          <w:szCs w:val="20"/>
          <w:lang w:val="de-DE"/>
        </w:rPr>
        <w:t xml:space="preserve"> </w:t>
      </w:r>
      <w:r w:rsidRPr="00087B8B">
        <w:rPr>
          <w:rStyle w:val="hps"/>
          <w:rFonts w:ascii="Verdana" w:eastAsia="Calibri" w:hAnsi="Verdana"/>
          <w:sz w:val="20"/>
          <w:szCs w:val="20"/>
          <w:lang w:val="de-DE"/>
        </w:rPr>
        <w:t>Olivier</w:t>
      </w:r>
      <w:r w:rsidRPr="00087B8B">
        <w:rPr>
          <w:rFonts w:ascii="Verdana" w:hAnsi="Verdana"/>
          <w:sz w:val="20"/>
          <w:szCs w:val="20"/>
          <w:lang w:val="de-DE"/>
        </w:rPr>
        <w:t xml:space="preserve"> </w:t>
      </w:r>
      <w:r w:rsidRPr="00087B8B">
        <w:rPr>
          <w:rStyle w:val="hps"/>
          <w:rFonts w:ascii="Verdana" w:eastAsia="Calibri" w:hAnsi="Verdana"/>
          <w:sz w:val="20"/>
          <w:szCs w:val="20"/>
          <w:lang w:val="de-DE"/>
        </w:rPr>
        <w:t>HERMANNS (087/59.64.45)</w:t>
      </w:r>
      <w:r>
        <w:rPr>
          <w:rStyle w:val="hps"/>
          <w:rFonts w:ascii="Verdana" w:eastAsia="Calibri" w:hAnsi="Verdana"/>
          <w:sz w:val="20"/>
          <w:szCs w:val="20"/>
          <w:lang w:val="de-DE"/>
        </w:rPr>
        <w:t>.</w:t>
      </w:r>
    </w:p>
    <w:p w14:paraId="4251F0D3" w14:textId="77777777" w:rsidR="009D5058" w:rsidRPr="00087B8B" w:rsidRDefault="009D5058" w:rsidP="009D5058">
      <w:pPr>
        <w:pStyle w:val="KeinLeerraum"/>
        <w:rPr>
          <w:rStyle w:val="hps"/>
          <w:rFonts w:ascii="Verdana" w:eastAsia="Calibri" w:hAnsi="Verdana"/>
          <w:sz w:val="20"/>
          <w:szCs w:val="20"/>
          <w:lang w:val="de-DE"/>
        </w:rPr>
      </w:pPr>
    </w:p>
    <w:p w14:paraId="5C90B7C6" w14:textId="77777777" w:rsidR="009D5058" w:rsidRDefault="009D5058" w:rsidP="009D5058">
      <w:pPr>
        <w:pStyle w:val="KeinLeerraum"/>
        <w:rPr>
          <w:rFonts w:ascii="Verdana" w:hAnsi="Verdana"/>
          <w:sz w:val="20"/>
          <w:szCs w:val="20"/>
          <w:lang w:val="de-DE"/>
        </w:rPr>
      </w:pPr>
      <w:r w:rsidRPr="00087B8B">
        <w:rPr>
          <w:rStyle w:val="hps"/>
          <w:rFonts w:ascii="Verdana" w:eastAsia="Calibri" w:hAnsi="Verdana"/>
          <w:sz w:val="20"/>
          <w:szCs w:val="20"/>
          <w:lang w:val="de-DE"/>
        </w:rPr>
        <w:t xml:space="preserve">Antwort </w:t>
      </w:r>
      <w:r>
        <w:rPr>
          <w:rStyle w:val="hps"/>
          <w:rFonts w:ascii="Verdana" w:eastAsia="Calibri" w:hAnsi="Verdana"/>
          <w:sz w:val="20"/>
          <w:szCs w:val="20"/>
          <w:lang w:val="de-DE"/>
        </w:rPr>
        <w:t xml:space="preserve">bitte </w:t>
      </w:r>
      <w:r w:rsidRPr="00FD6B41">
        <w:rPr>
          <w:rStyle w:val="hps"/>
          <w:rFonts w:ascii="Verdana" w:eastAsia="Calibri" w:hAnsi="Verdana"/>
          <w:b/>
          <w:sz w:val="20"/>
          <w:szCs w:val="20"/>
          <w:lang w:val="de-DE"/>
        </w:rPr>
        <w:t>nur elektronisch</w:t>
      </w:r>
      <w:r>
        <w:rPr>
          <w:rStyle w:val="hps"/>
          <w:rFonts w:ascii="Verdana" w:eastAsia="Calibri" w:hAnsi="Verdana"/>
          <w:sz w:val="20"/>
          <w:szCs w:val="20"/>
          <w:lang w:val="de-DE"/>
        </w:rPr>
        <w:t xml:space="preserve"> </w:t>
      </w:r>
      <w:r w:rsidRPr="00087B8B">
        <w:rPr>
          <w:rStyle w:val="hps"/>
          <w:rFonts w:ascii="Verdana" w:eastAsia="Calibri" w:hAnsi="Verdana"/>
          <w:sz w:val="20"/>
          <w:szCs w:val="20"/>
          <w:lang w:val="de-DE"/>
        </w:rPr>
        <w:t>per E</w:t>
      </w:r>
      <w:r w:rsidRPr="00087B8B">
        <w:rPr>
          <w:rFonts w:ascii="Verdana" w:hAnsi="Verdana"/>
          <w:sz w:val="20"/>
          <w:szCs w:val="20"/>
          <w:lang w:val="de-DE"/>
        </w:rPr>
        <w:t xml:space="preserve">-Mail an </w:t>
      </w:r>
      <w:hyperlink r:id="rId16" w:history="1">
        <w:r w:rsidRPr="00087B8B">
          <w:rPr>
            <w:rStyle w:val="Hyperlink"/>
            <w:rFonts w:ascii="Verdana" w:eastAsia="Calibri" w:hAnsi="Verdana"/>
            <w:sz w:val="20"/>
            <w:szCs w:val="20"/>
            <w:lang w:val="de-DE"/>
          </w:rPr>
          <w:t>olivier.hermanns@dgov.be</w:t>
        </w:r>
      </w:hyperlink>
      <w:r w:rsidRPr="00087B8B">
        <w:rPr>
          <w:rStyle w:val="hps"/>
          <w:rFonts w:ascii="Verdana" w:eastAsia="Calibri" w:hAnsi="Verdana"/>
          <w:sz w:val="20"/>
          <w:szCs w:val="20"/>
          <w:lang w:val="de-DE"/>
        </w:rPr>
        <w:t xml:space="preserve"> </w:t>
      </w:r>
      <w:r w:rsidRPr="00087B8B">
        <w:rPr>
          <w:rFonts w:ascii="Verdana" w:hAnsi="Verdana"/>
          <w:sz w:val="20"/>
          <w:szCs w:val="20"/>
          <w:lang w:val="de-DE"/>
        </w:rPr>
        <w:t>versenden.</w:t>
      </w:r>
    </w:p>
    <w:p w14:paraId="36E72110" w14:textId="77777777" w:rsidR="009D5058" w:rsidRPr="008506D7" w:rsidRDefault="009D5058" w:rsidP="009D5058">
      <w:pPr>
        <w:pStyle w:val="KeinLeerraum"/>
        <w:rPr>
          <w:rFonts w:ascii="Verdana" w:eastAsia="Calibri" w:hAnsi="Verdana"/>
          <w:sz w:val="20"/>
          <w:szCs w:val="20"/>
          <w:lang w:val="de-DE"/>
        </w:rPr>
      </w:pPr>
      <w:r w:rsidRPr="00087B8B">
        <w:rPr>
          <w:rStyle w:val="hps"/>
          <w:rFonts w:ascii="Verdana" w:eastAsia="Calibri" w:hAnsi="Verdana"/>
          <w:sz w:val="20"/>
          <w:szCs w:val="20"/>
          <w:lang w:val="de-DE"/>
        </w:rPr>
        <w:t>Vertrauliche Passagen im Dokument</w:t>
      </w:r>
      <w:r w:rsidRPr="00087B8B">
        <w:rPr>
          <w:rFonts w:ascii="Verdana" w:hAnsi="Verdana"/>
          <w:sz w:val="20"/>
          <w:szCs w:val="20"/>
          <w:lang w:val="de-DE"/>
        </w:rPr>
        <w:t xml:space="preserve"> sind</w:t>
      </w:r>
      <w:r w:rsidRPr="00087B8B">
        <w:rPr>
          <w:rStyle w:val="hps"/>
          <w:rFonts w:ascii="Verdana" w:eastAsia="Calibri" w:hAnsi="Verdana"/>
          <w:sz w:val="20"/>
          <w:szCs w:val="20"/>
          <w:lang w:val="de-DE"/>
        </w:rPr>
        <w:t xml:space="preserve"> eindeutig zu kennzeichnen</w:t>
      </w:r>
      <w:r w:rsidRPr="00087B8B">
        <w:rPr>
          <w:rFonts w:ascii="Verdana" w:hAnsi="Verdana"/>
          <w:sz w:val="20"/>
          <w:szCs w:val="20"/>
          <w:lang w:val="de-DE"/>
        </w:rPr>
        <w:t>.</w:t>
      </w:r>
    </w:p>
    <w:p w14:paraId="5BEC3F7F" w14:textId="77777777" w:rsidR="009D5058" w:rsidRPr="00087B8B" w:rsidRDefault="009D5058" w:rsidP="009D5058">
      <w:pPr>
        <w:pStyle w:val="KeinLeerraum"/>
        <w:rPr>
          <w:rStyle w:val="hps"/>
          <w:rFonts w:ascii="Verdana" w:eastAsia="Calibri" w:hAnsi="Verdana"/>
          <w:sz w:val="20"/>
          <w:szCs w:val="20"/>
          <w:lang w:val="de-DE"/>
        </w:rPr>
      </w:pPr>
    </w:p>
    <w:p w14:paraId="114CDF6E" w14:textId="77777777" w:rsidR="009D5058" w:rsidRDefault="009D5058" w:rsidP="009D5058">
      <w:pPr>
        <w:pStyle w:val="NormalInterline115x"/>
        <w:rPr>
          <w:rFonts w:ascii="Verdana" w:hAnsi="Verdana"/>
          <w:sz w:val="20"/>
          <w:szCs w:val="20"/>
          <w:lang w:val="de-DE"/>
        </w:rPr>
      </w:pPr>
      <w:r w:rsidRPr="00087B8B">
        <w:rPr>
          <w:rFonts w:ascii="Verdana" w:hAnsi="Verdana"/>
          <w:sz w:val="20"/>
          <w:szCs w:val="20"/>
          <w:lang w:val="de-DE"/>
        </w:rPr>
        <w:t>Wir bitten darum, in den Kommentaren Bezug auf die jeweiligen Paragraphen und/oder Unterteilungen des Dokuments zu nehmen.</w:t>
      </w:r>
    </w:p>
    <w:p w14:paraId="4D242ED7" w14:textId="77777777" w:rsidR="009D5058" w:rsidRDefault="009D5058" w:rsidP="009D5058">
      <w:pPr>
        <w:rPr>
          <w:rFonts w:ascii="Verdana" w:hAnsi="Verdana"/>
          <w:sz w:val="20"/>
          <w:szCs w:val="20"/>
          <w:lang w:val="de-DE"/>
        </w:rPr>
      </w:pPr>
      <w:r>
        <w:rPr>
          <w:rFonts w:ascii="Verdana" w:hAnsi="Verdana"/>
          <w:sz w:val="20"/>
          <w:szCs w:val="20"/>
          <w:lang w:val="de-DE"/>
        </w:rPr>
        <w:t>Eine deutsche Fassung des Konsultationsdokuments wird noch zur Verfügung gestellt.</w:t>
      </w:r>
    </w:p>
    <w:p w14:paraId="0025CA92" w14:textId="77777777" w:rsidR="009D5058" w:rsidRPr="00B8237D" w:rsidRDefault="009D5058" w:rsidP="009D5058">
      <w:pPr>
        <w:rPr>
          <w:lang w:val="de-DE"/>
        </w:rPr>
      </w:pPr>
    </w:p>
    <w:p w14:paraId="051DD4C8" w14:textId="67CA5AF4" w:rsidR="002024BA" w:rsidRPr="001D5C85" w:rsidRDefault="002024BA" w:rsidP="002024BA">
      <w:pPr>
        <w:rPr>
          <w:szCs w:val="24"/>
        </w:rPr>
      </w:pPr>
    </w:p>
    <w:p w14:paraId="051DD4C9" w14:textId="77777777" w:rsidR="00572AB0" w:rsidRPr="00291CE2" w:rsidRDefault="00572AB0" w:rsidP="00572AB0">
      <w:pPr>
        <w:sectPr w:rsidR="00572AB0" w:rsidRPr="00291CE2" w:rsidSect="0036572B">
          <w:footerReference w:type="first" r:id="rId17"/>
          <w:type w:val="continuous"/>
          <w:pgSz w:w="11906" w:h="16838" w:code="9"/>
          <w:pgMar w:top="1134" w:right="1134" w:bottom="1134" w:left="1701" w:header="720" w:footer="720" w:gutter="0"/>
          <w:cols w:space="720"/>
          <w:docGrid w:linePitch="299"/>
        </w:sectPr>
      </w:pPr>
    </w:p>
    <w:sdt>
      <w:sdtPr>
        <w:rPr>
          <w:rFonts w:ascii="Cambria" w:eastAsia="Times New Roman" w:hAnsi="Cambria" w:cs="Times New Roman"/>
          <w:b w:val="0"/>
          <w:bCs w:val="0"/>
          <w:caps/>
          <w:noProof/>
          <w:color w:val="auto"/>
          <w:sz w:val="22"/>
          <w:szCs w:val="22"/>
        </w:rPr>
        <w:id w:val="-266774897"/>
        <w:docPartObj>
          <w:docPartGallery w:val="Table of Contents"/>
          <w:docPartUnique/>
        </w:docPartObj>
      </w:sdtPr>
      <w:sdtContent>
        <w:p w14:paraId="051DD4CB" w14:textId="77777777" w:rsidR="00572AB0" w:rsidRPr="00291CE2" w:rsidRDefault="00572AB0" w:rsidP="00572AB0">
          <w:pPr>
            <w:pStyle w:val="Inhaltsverzeichnisberschrift"/>
          </w:pPr>
          <w:r>
            <w:t>Table des matières</w:t>
          </w:r>
        </w:p>
        <w:p w14:paraId="7AABCBBB" w14:textId="77777777" w:rsidR="007C3387" w:rsidRDefault="00572AB0">
          <w:pPr>
            <w:pStyle w:val="Verzeichnis1"/>
            <w:rPr>
              <w:rFonts w:asciiTheme="minorHAnsi" w:eastAsiaTheme="minorEastAsia" w:hAnsiTheme="minorHAnsi" w:cstheme="minorBidi"/>
              <w:b w:val="0"/>
              <w:bCs w:val="0"/>
              <w:caps w:val="0"/>
              <w:sz w:val="22"/>
              <w:szCs w:val="22"/>
              <w:lang w:val="de-DE" w:eastAsia="de-DE" w:bidi="ar-SA"/>
            </w:rPr>
          </w:pPr>
          <w:r w:rsidRPr="00291CE2">
            <w:fldChar w:fldCharType="begin"/>
          </w:r>
          <w:r w:rsidRPr="00291CE2">
            <w:instrText xml:space="preserve"> TOC \o "1-2" \h \z \u </w:instrText>
          </w:r>
          <w:r w:rsidRPr="00291CE2">
            <w:fldChar w:fldCharType="separate"/>
          </w:r>
          <w:hyperlink w:anchor="_Toc430001800" w:history="1">
            <w:r w:rsidR="007C3387" w:rsidRPr="00CF7842">
              <w:rPr>
                <w:rStyle w:val="Hyperlink"/>
              </w:rPr>
              <w:t>1</w:t>
            </w:r>
            <w:r w:rsidR="007C3387">
              <w:rPr>
                <w:rFonts w:asciiTheme="minorHAnsi" w:eastAsiaTheme="minorEastAsia" w:hAnsiTheme="minorHAnsi" w:cstheme="minorBidi"/>
                <w:b w:val="0"/>
                <w:bCs w:val="0"/>
                <w:caps w:val="0"/>
                <w:sz w:val="22"/>
                <w:szCs w:val="22"/>
                <w:lang w:val="de-DE" w:eastAsia="de-DE" w:bidi="ar-SA"/>
              </w:rPr>
              <w:tab/>
            </w:r>
            <w:r w:rsidR="007C3387" w:rsidRPr="00CF7842">
              <w:rPr>
                <w:rStyle w:val="Hyperlink"/>
              </w:rPr>
              <w:t>Introduction</w:t>
            </w:r>
            <w:r w:rsidR="007C3387">
              <w:rPr>
                <w:webHidden/>
              </w:rPr>
              <w:tab/>
            </w:r>
            <w:r w:rsidR="007C3387">
              <w:rPr>
                <w:webHidden/>
              </w:rPr>
              <w:fldChar w:fldCharType="begin"/>
            </w:r>
            <w:r w:rsidR="007C3387">
              <w:rPr>
                <w:webHidden/>
              </w:rPr>
              <w:instrText xml:space="preserve"> PAGEREF _Toc430001800 \h </w:instrText>
            </w:r>
            <w:r w:rsidR="007C3387">
              <w:rPr>
                <w:webHidden/>
              </w:rPr>
            </w:r>
            <w:r w:rsidR="007C3387">
              <w:rPr>
                <w:webHidden/>
              </w:rPr>
              <w:fldChar w:fldCharType="separate"/>
            </w:r>
            <w:r w:rsidR="007C3387">
              <w:rPr>
                <w:webHidden/>
              </w:rPr>
              <w:t>3</w:t>
            </w:r>
            <w:r w:rsidR="007C3387">
              <w:rPr>
                <w:webHidden/>
              </w:rPr>
              <w:fldChar w:fldCharType="end"/>
            </w:r>
          </w:hyperlink>
        </w:p>
        <w:p w14:paraId="2BB3BC39"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01" w:history="1">
            <w:r w:rsidRPr="00CF7842">
              <w:rPr>
                <w:rStyle w:val="Hyperlink"/>
              </w:rPr>
              <w:t>2</w:t>
            </w:r>
            <w:r>
              <w:rPr>
                <w:rFonts w:asciiTheme="minorHAnsi" w:eastAsiaTheme="minorEastAsia" w:hAnsiTheme="minorHAnsi" w:cstheme="minorBidi"/>
                <w:b w:val="0"/>
                <w:bCs w:val="0"/>
                <w:caps w:val="0"/>
                <w:sz w:val="22"/>
                <w:szCs w:val="22"/>
                <w:lang w:val="de-DE" w:eastAsia="de-DE" w:bidi="ar-SA"/>
              </w:rPr>
              <w:tab/>
            </w:r>
            <w:r w:rsidRPr="00CF7842">
              <w:rPr>
                <w:rStyle w:val="Hyperlink"/>
              </w:rPr>
              <w:t>Procédure</w:t>
            </w:r>
            <w:r>
              <w:rPr>
                <w:webHidden/>
              </w:rPr>
              <w:tab/>
            </w:r>
            <w:r>
              <w:rPr>
                <w:webHidden/>
              </w:rPr>
              <w:fldChar w:fldCharType="begin"/>
            </w:r>
            <w:r>
              <w:rPr>
                <w:webHidden/>
              </w:rPr>
              <w:instrText xml:space="preserve"> PAGEREF _Toc430001801 \h </w:instrText>
            </w:r>
            <w:r>
              <w:rPr>
                <w:webHidden/>
              </w:rPr>
            </w:r>
            <w:r>
              <w:rPr>
                <w:webHidden/>
              </w:rPr>
              <w:fldChar w:fldCharType="separate"/>
            </w:r>
            <w:r>
              <w:rPr>
                <w:webHidden/>
              </w:rPr>
              <w:t>5</w:t>
            </w:r>
            <w:r>
              <w:rPr>
                <w:webHidden/>
              </w:rPr>
              <w:fldChar w:fldCharType="end"/>
            </w:r>
          </w:hyperlink>
        </w:p>
        <w:p w14:paraId="294890C7"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02" w:history="1">
            <w:r w:rsidRPr="00CF7842">
              <w:rPr>
                <w:rStyle w:val="Hyperlink"/>
                <w:lang w:val="nl-NL"/>
              </w:rPr>
              <w:t>2.1</w:t>
            </w:r>
            <w:r>
              <w:rPr>
                <w:rFonts w:asciiTheme="minorHAnsi" w:eastAsiaTheme="minorEastAsia" w:hAnsiTheme="minorHAnsi" w:cstheme="minorBidi"/>
                <w:smallCaps w:val="0"/>
                <w:sz w:val="22"/>
                <w:szCs w:val="22"/>
                <w:lang w:val="de-DE" w:eastAsia="de-DE" w:bidi="ar-SA"/>
              </w:rPr>
              <w:tab/>
            </w:r>
            <w:r w:rsidRPr="00CF7842">
              <w:rPr>
                <w:rStyle w:val="Hyperlink"/>
              </w:rPr>
              <w:t>Rétroactes</w:t>
            </w:r>
            <w:r>
              <w:rPr>
                <w:webHidden/>
              </w:rPr>
              <w:tab/>
            </w:r>
            <w:r>
              <w:rPr>
                <w:webHidden/>
              </w:rPr>
              <w:fldChar w:fldCharType="begin"/>
            </w:r>
            <w:r>
              <w:rPr>
                <w:webHidden/>
              </w:rPr>
              <w:instrText xml:space="preserve"> PAGEREF _Toc430001802 \h </w:instrText>
            </w:r>
            <w:r>
              <w:rPr>
                <w:webHidden/>
              </w:rPr>
            </w:r>
            <w:r>
              <w:rPr>
                <w:webHidden/>
              </w:rPr>
              <w:fldChar w:fldCharType="separate"/>
            </w:r>
            <w:r>
              <w:rPr>
                <w:webHidden/>
              </w:rPr>
              <w:t>5</w:t>
            </w:r>
            <w:r>
              <w:rPr>
                <w:webHidden/>
              </w:rPr>
              <w:fldChar w:fldCharType="end"/>
            </w:r>
          </w:hyperlink>
        </w:p>
        <w:p w14:paraId="5FE6F35D"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03" w:history="1">
            <w:r w:rsidRPr="00CF7842">
              <w:rPr>
                <w:rStyle w:val="Hyperlink"/>
                <w:lang w:val="nl-NL"/>
              </w:rPr>
              <w:t>2.2</w:t>
            </w:r>
            <w:r>
              <w:rPr>
                <w:rFonts w:asciiTheme="minorHAnsi" w:eastAsiaTheme="minorEastAsia" w:hAnsiTheme="minorHAnsi" w:cstheme="minorBidi"/>
                <w:smallCaps w:val="0"/>
                <w:sz w:val="22"/>
                <w:szCs w:val="22"/>
                <w:lang w:val="de-DE" w:eastAsia="de-DE" w:bidi="ar-SA"/>
              </w:rPr>
              <w:tab/>
            </w:r>
            <w:r w:rsidRPr="00CF7842">
              <w:rPr>
                <w:rStyle w:val="Hyperlink"/>
              </w:rPr>
              <w:t>Consultation nationale</w:t>
            </w:r>
            <w:r>
              <w:rPr>
                <w:webHidden/>
              </w:rPr>
              <w:tab/>
            </w:r>
            <w:r>
              <w:rPr>
                <w:webHidden/>
              </w:rPr>
              <w:fldChar w:fldCharType="begin"/>
            </w:r>
            <w:r>
              <w:rPr>
                <w:webHidden/>
              </w:rPr>
              <w:instrText xml:space="preserve"> PAGEREF _Toc430001803 \h </w:instrText>
            </w:r>
            <w:r>
              <w:rPr>
                <w:webHidden/>
              </w:rPr>
            </w:r>
            <w:r>
              <w:rPr>
                <w:webHidden/>
              </w:rPr>
              <w:fldChar w:fldCharType="separate"/>
            </w:r>
            <w:r>
              <w:rPr>
                <w:webHidden/>
              </w:rPr>
              <w:t>6</w:t>
            </w:r>
            <w:r>
              <w:rPr>
                <w:webHidden/>
              </w:rPr>
              <w:fldChar w:fldCharType="end"/>
            </w:r>
          </w:hyperlink>
        </w:p>
        <w:p w14:paraId="3A132528"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04" w:history="1">
            <w:r w:rsidRPr="00CF7842">
              <w:rPr>
                <w:rStyle w:val="Hyperlink"/>
                <w:lang w:val="nl-NL"/>
              </w:rPr>
              <w:t>2.3</w:t>
            </w:r>
            <w:r>
              <w:rPr>
                <w:rFonts w:asciiTheme="minorHAnsi" w:eastAsiaTheme="minorEastAsia" w:hAnsiTheme="minorHAnsi" w:cstheme="minorBidi"/>
                <w:smallCaps w:val="0"/>
                <w:sz w:val="22"/>
                <w:szCs w:val="22"/>
                <w:lang w:val="de-DE" w:eastAsia="de-DE" w:bidi="ar-SA"/>
              </w:rPr>
              <w:tab/>
            </w:r>
            <w:r w:rsidRPr="00CF7842">
              <w:rPr>
                <w:rStyle w:val="Hyperlink"/>
              </w:rPr>
              <w:t>La consultation des régulateurs des médias</w:t>
            </w:r>
            <w:r>
              <w:rPr>
                <w:webHidden/>
              </w:rPr>
              <w:tab/>
            </w:r>
            <w:r>
              <w:rPr>
                <w:webHidden/>
              </w:rPr>
              <w:fldChar w:fldCharType="begin"/>
            </w:r>
            <w:r>
              <w:rPr>
                <w:webHidden/>
              </w:rPr>
              <w:instrText xml:space="preserve"> PAGEREF _Toc430001804 \h </w:instrText>
            </w:r>
            <w:r>
              <w:rPr>
                <w:webHidden/>
              </w:rPr>
            </w:r>
            <w:r>
              <w:rPr>
                <w:webHidden/>
              </w:rPr>
              <w:fldChar w:fldCharType="separate"/>
            </w:r>
            <w:r>
              <w:rPr>
                <w:webHidden/>
              </w:rPr>
              <w:t>7</w:t>
            </w:r>
            <w:r>
              <w:rPr>
                <w:webHidden/>
              </w:rPr>
              <w:fldChar w:fldCharType="end"/>
            </w:r>
          </w:hyperlink>
        </w:p>
        <w:p w14:paraId="0B85385D"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05" w:history="1">
            <w:r w:rsidRPr="00CF7842">
              <w:rPr>
                <w:rStyle w:val="Hyperlink"/>
                <w:lang w:val="nl-NL"/>
              </w:rPr>
              <w:t>2.4</w:t>
            </w:r>
            <w:r>
              <w:rPr>
                <w:rFonts w:asciiTheme="minorHAnsi" w:eastAsiaTheme="minorEastAsia" w:hAnsiTheme="minorHAnsi" w:cstheme="minorBidi"/>
                <w:smallCaps w:val="0"/>
                <w:sz w:val="22"/>
                <w:szCs w:val="22"/>
                <w:lang w:val="de-DE" w:eastAsia="de-DE" w:bidi="ar-SA"/>
              </w:rPr>
              <w:tab/>
            </w:r>
            <w:r w:rsidRPr="00CF7842">
              <w:rPr>
                <w:rStyle w:val="Hyperlink"/>
              </w:rPr>
              <w:t>La consultation européenne</w:t>
            </w:r>
            <w:r>
              <w:rPr>
                <w:webHidden/>
              </w:rPr>
              <w:tab/>
            </w:r>
            <w:r>
              <w:rPr>
                <w:webHidden/>
              </w:rPr>
              <w:fldChar w:fldCharType="begin"/>
            </w:r>
            <w:r>
              <w:rPr>
                <w:webHidden/>
              </w:rPr>
              <w:instrText xml:space="preserve"> PAGEREF _Toc430001805 \h </w:instrText>
            </w:r>
            <w:r>
              <w:rPr>
                <w:webHidden/>
              </w:rPr>
            </w:r>
            <w:r>
              <w:rPr>
                <w:webHidden/>
              </w:rPr>
              <w:fldChar w:fldCharType="separate"/>
            </w:r>
            <w:r>
              <w:rPr>
                <w:webHidden/>
              </w:rPr>
              <w:t>8</w:t>
            </w:r>
            <w:r>
              <w:rPr>
                <w:webHidden/>
              </w:rPr>
              <w:fldChar w:fldCharType="end"/>
            </w:r>
          </w:hyperlink>
        </w:p>
        <w:p w14:paraId="10D0108B"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06" w:history="1">
            <w:r w:rsidRPr="00CF7842">
              <w:rPr>
                <w:rStyle w:val="Hyperlink"/>
              </w:rPr>
              <w:t>3</w:t>
            </w:r>
            <w:r>
              <w:rPr>
                <w:rFonts w:asciiTheme="minorHAnsi" w:eastAsiaTheme="minorEastAsia" w:hAnsiTheme="minorHAnsi" w:cstheme="minorBidi"/>
                <w:b w:val="0"/>
                <w:bCs w:val="0"/>
                <w:caps w:val="0"/>
                <w:sz w:val="22"/>
                <w:szCs w:val="22"/>
                <w:lang w:val="de-DE" w:eastAsia="de-DE" w:bidi="ar-SA"/>
              </w:rPr>
              <w:tab/>
            </w:r>
            <w:r w:rsidRPr="00CF7842">
              <w:rPr>
                <w:rStyle w:val="Hyperlink"/>
              </w:rPr>
              <w:t>Cadre réglementaire</w:t>
            </w:r>
            <w:r>
              <w:rPr>
                <w:webHidden/>
              </w:rPr>
              <w:tab/>
            </w:r>
            <w:r>
              <w:rPr>
                <w:webHidden/>
              </w:rPr>
              <w:fldChar w:fldCharType="begin"/>
            </w:r>
            <w:r>
              <w:rPr>
                <w:webHidden/>
              </w:rPr>
              <w:instrText xml:space="preserve"> PAGEREF _Toc430001806 \h </w:instrText>
            </w:r>
            <w:r>
              <w:rPr>
                <w:webHidden/>
              </w:rPr>
            </w:r>
            <w:r>
              <w:rPr>
                <w:webHidden/>
              </w:rPr>
              <w:fldChar w:fldCharType="separate"/>
            </w:r>
            <w:r>
              <w:rPr>
                <w:webHidden/>
              </w:rPr>
              <w:t>10</w:t>
            </w:r>
            <w:r>
              <w:rPr>
                <w:webHidden/>
              </w:rPr>
              <w:fldChar w:fldCharType="end"/>
            </w:r>
          </w:hyperlink>
        </w:p>
        <w:p w14:paraId="19176649"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07" w:history="1">
            <w:r w:rsidRPr="00CF7842">
              <w:rPr>
                <w:rStyle w:val="Hyperlink"/>
              </w:rPr>
              <w:t>4</w:t>
            </w:r>
            <w:r>
              <w:rPr>
                <w:rFonts w:asciiTheme="minorHAnsi" w:eastAsiaTheme="minorEastAsia" w:hAnsiTheme="minorHAnsi" w:cstheme="minorBidi"/>
                <w:b w:val="0"/>
                <w:bCs w:val="0"/>
                <w:caps w:val="0"/>
                <w:sz w:val="22"/>
                <w:szCs w:val="22"/>
                <w:lang w:val="de-DE" w:eastAsia="de-DE" w:bidi="ar-SA"/>
              </w:rPr>
              <w:tab/>
            </w:r>
            <w:r w:rsidRPr="00CF7842">
              <w:rPr>
                <w:rStyle w:val="Hyperlink"/>
              </w:rPr>
              <w:t>Single VISIT</w:t>
            </w:r>
            <w:r>
              <w:rPr>
                <w:webHidden/>
              </w:rPr>
              <w:tab/>
            </w:r>
            <w:r>
              <w:rPr>
                <w:webHidden/>
              </w:rPr>
              <w:fldChar w:fldCharType="begin"/>
            </w:r>
            <w:r>
              <w:rPr>
                <w:webHidden/>
              </w:rPr>
              <w:instrText xml:space="preserve"> PAGEREF _Toc430001807 \h </w:instrText>
            </w:r>
            <w:r>
              <w:rPr>
                <w:webHidden/>
              </w:rPr>
            </w:r>
            <w:r>
              <w:rPr>
                <w:webHidden/>
              </w:rPr>
              <w:fldChar w:fldCharType="separate"/>
            </w:r>
            <w:r>
              <w:rPr>
                <w:webHidden/>
              </w:rPr>
              <w:t>12</w:t>
            </w:r>
            <w:r>
              <w:rPr>
                <w:webHidden/>
              </w:rPr>
              <w:fldChar w:fldCharType="end"/>
            </w:r>
          </w:hyperlink>
        </w:p>
        <w:p w14:paraId="31BBC46E"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08" w:history="1">
            <w:r w:rsidRPr="00CF7842">
              <w:rPr>
                <w:rStyle w:val="Hyperlink"/>
                <w:lang w:val="nl-NL"/>
              </w:rPr>
              <w:t>4.1</w:t>
            </w:r>
            <w:r>
              <w:rPr>
                <w:rFonts w:asciiTheme="minorHAnsi" w:eastAsiaTheme="minorEastAsia" w:hAnsiTheme="minorHAnsi" w:cstheme="minorBidi"/>
                <w:smallCaps w:val="0"/>
                <w:sz w:val="22"/>
                <w:szCs w:val="22"/>
                <w:lang w:val="de-DE" w:eastAsia="de-DE" w:bidi="ar-SA"/>
              </w:rPr>
              <w:tab/>
            </w:r>
            <w:r w:rsidRPr="00CF7842">
              <w:rPr>
                <w:rStyle w:val="Hyperlink"/>
              </w:rPr>
              <w:t>Introduction</w:t>
            </w:r>
            <w:r>
              <w:rPr>
                <w:webHidden/>
              </w:rPr>
              <w:tab/>
            </w:r>
            <w:r>
              <w:rPr>
                <w:webHidden/>
              </w:rPr>
              <w:fldChar w:fldCharType="begin"/>
            </w:r>
            <w:r>
              <w:rPr>
                <w:webHidden/>
              </w:rPr>
              <w:instrText xml:space="preserve"> PAGEREF _Toc430001808 \h </w:instrText>
            </w:r>
            <w:r>
              <w:rPr>
                <w:webHidden/>
              </w:rPr>
            </w:r>
            <w:r>
              <w:rPr>
                <w:webHidden/>
              </w:rPr>
              <w:fldChar w:fldCharType="separate"/>
            </w:r>
            <w:r>
              <w:rPr>
                <w:webHidden/>
              </w:rPr>
              <w:t>12</w:t>
            </w:r>
            <w:r>
              <w:rPr>
                <w:webHidden/>
              </w:rPr>
              <w:fldChar w:fldCharType="end"/>
            </w:r>
          </w:hyperlink>
        </w:p>
        <w:p w14:paraId="0B6B757F"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09" w:history="1">
            <w:r w:rsidRPr="00CF7842">
              <w:rPr>
                <w:rStyle w:val="Hyperlink"/>
                <w:lang w:val="nl-NL"/>
              </w:rPr>
              <w:t>4.2</w:t>
            </w:r>
            <w:r>
              <w:rPr>
                <w:rFonts w:asciiTheme="minorHAnsi" w:eastAsiaTheme="minorEastAsia" w:hAnsiTheme="minorHAnsi" w:cstheme="minorBidi"/>
                <w:smallCaps w:val="0"/>
                <w:sz w:val="22"/>
                <w:szCs w:val="22"/>
                <w:lang w:val="de-DE" w:eastAsia="de-DE" w:bidi="ar-SA"/>
              </w:rPr>
              <w:tab/>
            </w:r>
            <w:r w:rsidRPr="00CF7842">
              <w:rPr>
                <w:rStyle w:val="Hyperlink"/>
              </w:rPr>
              <w:t>Analyse</w:t>
            </w:r>
            <w:r>
              <w:rPr>
                <w:webHidden/>
              </w:rPr>
              <w:tab/>
            </w:r>
            <w:r>
              <w:rPr>
                <w:webHidden/>
              </w:rPr>
              <w:fldChar w:fldCharType="begin"/>
            </w:r>
            <w:r>
              <w:rPr>
                <w:webHidden/>
              </w:rPr>
              <w:instrText xml:space="preserve"> PAGEREF _Toc430001809 \h </w:instrText>
            </w:r>
            <w:r>
              <w:rPr>
                <w:webHidden/>
              </w:rPr>
            </w:r>
            <w:r>
              <w:rPr>
                <w:webHidden/>
              </w:rPr>
              <w:fldChar w:fldCharType="separate"/>
            </w:r>
            <w:r>
              <w:rPr>
                <w:webHidden/>
              </w:rPr>
              <w:t>13</w:t>
            </w:r>
            <w:r>
              <w:rPr>
                <w:webHidden/>
              </w:rPr>
              <w:fldChar w:fldCharType="end"/>
            </w:r>
          </w:hyperlink>
        </w:p>
        <w:p w14:paraId="34875231"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0" w:history="1">
            <w:r w:rsidRPr="00CF7842">
              <w:rPr>
                <w:rStyle w:val="Hyperlink"/>
                <w:lang w:val="nl-NL"/>
              </w:rPr>
              <w:t>4.3</w:t>
            </w:r>
            <w:r>
              <w:rPr>
                <w:rFonts w:asciiTheme="minorHAnsi" w:eastAsiaTheme="minorEastAsia" w:hAnsiTheme="minorHAnsi" w:cstheme="minorBidi"/>
                <w:smallCaps w:val="0"/>
                <w:sz w:val="22"/>
                <w:szCs w:val="22"/>
                <w:lang w:val="de-DE" w:eastAsia="de-DE" w:bidi="ar-SA"/>
              </w:rPr>
              <w:tab/>
            </w:r>
            <w:r w:rsidRPr="00CF7842">
              <w:rPr>
                <w:rStyle w:val="Hyperlink"/>
              </w:rPr>
              <w:t>Conclusion</w:t>
            </w:r>
            <w:r>
              <w:rPr>
                <w:webHidden/>
              </w:rPr>
              <w:tab/>
            </w:r>
            <w:r>
              <w:rPr>
                <w:webHidden/>
              </w:rPr>
              <w:fldChar w:fldCharType="begin"/>
            </w:r>
            <w:r>
              <w:rPr>
                <w:webHidden/>
              </w:rPr>
              <w:instrText xml:space="preserve"> PAGEREF _Toc430001810 \h </w:instrText>
            </w:r>
            <w:r>
              <w:rPr>
                <w:webHidden/>
              </w:rPr>
            </w:r>
            <w:r>
              <w:rPr>
                <w:webHidden/>
              </w:rPr>
              <w:fldChar w:fldCharType="separate"/>
            </w:r>
            <w:r>
              <w:rPr>
                <w:webHidden/>
              </w:rPr>
              <w:t>14</w:t>
            </w:r>
            <w:r>
              <w:rPr>
                <w:webHidden/>
              </w:rPr>
              <w:fldChar w:fldCharType="end"/>
            </w:r>
          </w:hyperlink>
        </w:p>
        <w:p w14:paraId="4668FF76"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11" w:history="1">
            <w:r w:rsidRPr="00CF7842">
              <w:rPr>
                <w:rStyle w:val="Hyperlink"/>
              </w:rPr>
              <w:t>5</w:t>
            </w:r>
            <w:r>
              <w:rPr>
                <w:rFonts w:asciiTheme="minorHAnsi" w:eastAsiaTheme="minorEastAsia" w:hAnsiTheme="minorHAnsi" w:cstheme="minorBidi"/>
                <w:b w:val="0"/>
                <w:bCs w:val="0"/>
                <w:caps w:val="0"/>
                <w:sz w:val="22"/>
                <w:szCs w:val="22"/>
                <w:lang w:val="de-DE" w:eastAsia="de-DE" w:bidi="ar-SA"/>
              </w:rPr>
              <w:tab/>
            </w:r>
            <w:r w:rsidRPr="00CF7842">
              <w:rPr>
                <w:rStyle w:val="Hyperlink"/>
              </w:rPr>
              <w:t>Courbe d'apprentissage, SLA et prévisions</w:t>
            </w:r>
            <w:r>
              <w:rPr>
                <w:webHidden/>
              </w:rPr>
              <w:tab/>
            </w:r>
            <w:r>
              <w:rPr>
                <w:webHidden/>
              </w:rPr>
              <w:fldChar w:fldCharType="begin"/>
            </w:r>
            <w:r>
              <w:rPr>
                <w:webHidden/>
              </w:rPr>
              <w:instrText xml:space="preserve"> PAGEREF _Toc430001811 \h </w:instrText>
            </w:r>
            <w:r>
              <w:rPr>
                <w:webHidden/>
              </w:rPr>
            </w:r>
            <w:r>
              <w:rPr>
                <w:webHidden/>
              </w:rPr>
              <w:fldChar w:fldCharType="separate"/>
            </w:r>
            <w:r>
              <w:rPr>
                <w:webHidden/>
              </w:rPr>
              <w:t>16</w:t>
            </w:r>
            <w:r>
              <w:rPr>
                <w:webHidden/>
              </w:rPr>
              <w:fldChar w:fldCharType="end"/>
            </w:r>
          </w:hyperlink>
        </w:p>
        <w:p w14:paraId="451D2DA8"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2" w:history="1">
            <w:r w:rsidRPr="00CF7842">
              <w:rPr>
                <w:rStyle w:val="Hyperlink"/>
                <w:lang w:val="nl-NL"/>
              </w:rPr>
              <w:t>5.1</w:t>
            </w:r>
            <w:r>
              <w:rPr>
                <w:rFonts w:asciiTheme="minorHAnsi" w:eastAsiaTheme="minorEastAsia" w:hAnsiTheme="minorHAnsi" w:cstheme="minorBidi"/>
                <w:smallCaps w:val="0"/>
                <w:sz w:val="22"/>
                <w:szCs w:val="22"/>
                <w:lang w:val="de-DE" w:eastAsia="de-DE" w:bidi="ar-SA"/>
              </w:rPr>
              <w:tab/>
            </w:r>
            <w:r w:rsidRPr="00CF7842">
              <w:rPr>
                <w:rStyle w:val="Hyperlink"/>
              </w:rPr>
              <w:t>Introduction</w:t>
            </w:r>
            <w:r>
              <w:rPr>
                <w:webHidden/>
              </w:rPr>
              <w:tab/>
            </w:r>
            <w:r>
              <w:rPr>
                <w:webHidden/>
              </w:rPr>
              <w:fldChar w:fldCharType="begin"/>
            </w:r>
            <w:r>
              <w:rPr>
                <w:webHidden/>
              </w:rPr>
              <w:instrText xml:space="preserve"> PAGEREF _Toc430001812 \h </w:instrText>
            </w:r>
            <w:r>
              <w:rPr>
                <w:webHidden/>
              </w:rPr>
            </w:r>
            <w:r>
              <w:rPr>
                <w:webHidden/>
              </w:rPr>
              <w:fldChar w:fldCharType="separate"/>
            </w:r>
            <w:r>
              <w:rPr>
                <w:webHidden/>
              </w:rPr>
              <w:t>16</w:t>
            </w:r>
            <w:r>
              <w:rPr>
                <w:webHidden/>
              </w:rPr>
              <w:fldChar w:fldCharType="end"/>
            </w:r>
          </w:hyperlink>
        </w:p>
        <w:p w14:paraId="0B6D4D11"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3" w:history="1">
            <w:r w:rsidRPr="00CF7842">
              <w:rPr>
                <w:rStyle w:val="Hyperlink"/>
                <w:lang w:val="nl-NL"/>
              </w:rPr>
              <w:t>5.2</w:t>
            </w:r>
            <w:r>
              <w:rPr>
                <w:rFonts w:asciiTheme="minorHAnsi" w:eastAsiaTheme="minorEastAsia" w:hAnsiTheme="minorHAnsi" w:cstheme="minorBidi"/>
                <w:smallCaps w:val="0"/>
                <w:sz w:val="22"/>
                <w:szCs w:val="22"/>
                <w:lang w:val="de-DE" w:eastAsia="de-DE" w:bidi="ar-SA"/>
              </w:rPr>
              <w:tab/>
            </w:r>
            <w:r w:rsidRPr="00CF7842">
              <w:rPr>
                <w:rStyle w:val="Hyperlink"/>
              </w:rPr>
              <w:t>Analyse</w:t>
            </w:r>
            <w:r>
              <w:rPr>
                <w:webHidden/>
              </w:rPr>
              <w:tab/>
            </w:r>
            <w:r>
              <w:rPr>
                <w:webHidden/>
              </w:rPr>
              <w:fldChar w:fldCharType="begin"/>
            </w:r>
            <w:r>
              <w:rPr>
                <w:webHidden/>
              </w:rPr>
              <w:instrText xml:space="preserve"> PAGEREF _Toc430001813 \h </w:instrText>
            </w:r>
            <w:r>
              <w:rPr>
                <w:webHidden/>
              </w:rPr>
            </w:r>
            <w:r>
              <w:rPr>
                <w:webHidden/>
              </w:rPr>
              <w:fldChar w:fldCharType="separate"/>
            </w:r>
            <w:r>
              <w:rPr>
                <w:webHidden/>
              </w:rPr>
              <w:t>17</w:t>
            </w:r>
            <w:r>
              <w:rPr>
                <w:webHidden/>
              </w:rPr>
              <w:fldChar w:fldCharType="end"/>
            </w:r>
          </w:hyperlink>
        </w:p>
        <w:p w14:paraId="7B324024"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4" w:history="1">
            <w:r w:rsidRPr="00CF7842">
              <w:rPr>
                <w:rStyle w:val="Hyperlink"/>
                <w:lang w:val="nl-NL"/>
              </w:rPr>
              <w:t>5.3</w:t>
            </w:r>
            <w:r>
              <w:rPr>
                <w:rFonts w:asciiTheme="minorHAnsi" w:eastAsiaTheme="minorEastAsia" w:hAnsiTheme="minorHAnsi" w:cstheme="minorBidi"/>
                <w:smallCaps w:val="0"/>
                <w:sz w:val="22"/>
                <w:szCs w:val="22"/>
                <w:lang w:val="de-DE" w:eastAsia="de-DE" w:bidi="ar-SA"/>
              </w:rPr>
              <w:tab/>
            </w:r>
            <w:r w:rsidRPr="00CF7842">
              <w:rPr>
                <w:rStyle w:val="Hyperlink"/>
              </w:rPr>
              <w:t>Conclusion</w:t>
            </w:r>
            <w:r>
              <w:rPr>
                <w:webHidden/>
              </w:rPr>
              <w:tab/>
            </w:r>
            <w:r>
              <w:rPr>
                <w:webHidden/>
              </w:rPr>
              <w:fldChar w:fldCharType="begin"/>
            </w:r>
            <w:r>
              <w:rPr>
                <w:webHidden/>
              </w:rPr>
              <w:instrText xml:space="preserve"> PAGEREF _Toc430001814 \h </w:instrText>
            </w:r>
            <w:r>
              <w:rPr>
                <w:webHidden/>
              </w:rPr>
            </w:r>
            <w:r>
              <w:rPr>
                <w:webHidden/>
              </w:rPr>
              <w:fldChar w:fldCharType="separate"/>
            </w:r>
            <w:r>
              <w:rPr>
                <w:webHidden/>
              </w:rPr>
              <w:t>18</w:t>
            </w:r>
            <w:r>
              <w:rPr>
                <w:webHidden/>
              </w:rPr>
              <w:fldChar w:fldCharType="end"/>
            </w:r>
          </w:hyperlink>
        </w:p>
        <w:p w14:paraId="51D3A368"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15" w:history="1">
            <w:r w:rsidRPr="00CF7842">
              <w:rPr>
                <w:rStyle w:val="Hyperlink"/>
              </w:rPr>
              <w:t>6</w:t>
            </w:r>
            <w:r>
              <w:rPr>
                <w:rFonts w:asciiTheme="minorHAnsi" w:eastAsiaTheme="minorEastAsia" w:hAnsiTheme="minorHAnsi" w:cstheme="minorBidi"/>
                <w:b w:val="0"/>
                <w:bCs w:val="0"/>
                <w:caps w:val="0"/>
                <w:sz w:val="22"/>
                <w:szCs w:val="22"/>
                <w:lang w:val="de-DE" w:eastAsia="de-DE" w:bidi="ar-SA"/>
              </w:rPr>
              <w:tab/>
            </w:r>
            <w:r w:rsidRPr="00CF7842">
              <w:rPr>
                <w:rStyle w:val="Hyperlink"/>
              </w:rPr>
              <w:t>Letter of authority</w:t>
            </w:r>
            <w:r>
              <w:rPr>
                <w:webHidden/>
              </w:rPr>
              <w:tab/>
            </w:r>
            <w:r>
              <w:rPr>
                <w:webHidden/>
              </w:rPr>
              <w:fldChar w:fldCharType="begin"/>
            </w:r>
            <w:r>
              <w:rPr>
                <w:webHidden/>
              </w:rPr>
              <w:instrText xml:space="preserve"> PAGEREF _Toc430001815 \h </w:instrText>
            </w:r>
            <w:r>
              <w:rPr>
                <w:webHidden/>
              </w:rPr>
            </w:r>
            <w:r>
              <w:rPr>
                <w:webHidden/>
              </w:rPr>
              <w:fldChar w:fldCharType="separate"/>
            </w:r>
            <w:r>
              <w:rPr>
                <w:webHidden/>
              </w:rPr>
              <w:t>20</w:t>
            </w:r>
            <w:r>
              <w:rPr>
                <w:webHidden/>
              </w:rPr>
              <w:fldChar w:fldCharType="end"/>
            </w:r>
          </w:hyperlink>
        </w:p>
        <w:p w14:paraId="3F30B036"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6" w:history="1">
            <w:r w:rsidRPr="00CF7842">
              <w:rPr>
                <w:rStyle w:val="Hyperlink"/>
                <w:lang w:val="nl-NL"/>
              </w:rPr>
              <w:t>6.1</w:t>
            </w:r>
            <w:r>
              <w:rPr>
                <w:rFonts w:asciiTheme="minorHAnsi" w:eastAsiaTheme="minorEastAsia" w:hAnsiTheme="minorHAnsi" w:cstheme="minorBidi"/>
                <w:smallCaps w:val="0"/>
                <w:sz w:val="22"/>
                <w:szCs w:val="22"/>
                <w:lang w:val="de-DE" w:eastAsia="de-DE" w:bidi="ar-SA"/>
              </w:rPr>
              <w:tab/>
            </w:r>
            <w:r w:rsidRPr="00CF7842">
              <w:rPr>
                <w:rStyle w:val="Hyperlink"/>
              </w:rPr>
              <w:t>Introduction</w:t>
            </w:r>
            <w:r>
              <w:rPr>
                <w:webHidden/>
              </w:rPr>
              <w:tab/>
            </w:r>
            <w:r>
              <w:rPr>
                <w:webHidden/>
              </w:rPr>
              <w:fldChar w:fldCharType="begin"/>
            </w:r>
            <w:r>
              <w:rPr>
                <w:webHidden/>
              </w:rPr>
              <w:instrText xml:space="preserve"> PAGEREF _Toc430001816 \h </w:instrText>
            </w:r>
            <w:r>
              <w:rPr>
                <w:webHidden/>
              </w:rPr>
            </w:r>
            <w:r>
              <w:rPr>
                <w:webHidden/>
              </w:rPr>
              <w:fldChar w:fldCharType="separate"/>
            </w:r>
            <w:r>
              <w:rPr>
                <w:webHidden/>
              </w:rPr>
              <w:t>20</w:t>
            </w:r>
            <w:r>
              <w:rPr>
                <w:webHidden/>
              </w:rPr>
              <w:fldChar w:fldCharType="end"/>
            </w:r>
          </w:hyperlink>
        </w:p>
        <w:p w14:paraId="49E4E2E1"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7" w:history="1">
            <w:r w:rsidRPr="00CF7842">
              <w:rPr>
                <w:rStyle w:val="Hyperlink"/>
                <w:lang w:val="nl-NL"/>
              </w:rPr>
              <w:t>6.2</w:t>
            </w:r>
            <w:r>
              <w:rPr>
                <w:rFonts w:asciiTheme="minorHAnsi" w:eastAsiaTheme="minorEastAsia" w:hAnsiTheme="minorHAnsi" w:cstheme="minorBidi"/>
                <w:smallCaps w:val="0"/>
                <w:sz w:val="22"/>
                <w:szCs w:val="22"/>
                <w:lang w:val="de-DE" w:eastAsia="de-DE" w:bidi="ar-SA"/>
              </w:rPr>
              <w:tab/>
            </w:r>
            <w:r w:rsidRPr="00CF7842">
              <w:rPr>
                <w:rStyle w:val="Hyperlink"/>
              </w:rPr>
              <w:t>Analyse</w:t>
            </w:r>
            <w:r>
              <w:rPr>
                <w:webHidden/>
              </w:rPr>
              <w:tab/>
            </w:r>
            <w:r>
              <w:rPr>
                <w:webHidden/>
              </w:rPr>
              <w:fldChar w:fldCharType="begin"/>
            </w:r>
            <w:r>
              <w:rPr>
                <w:webHidden/>
              </w:rPr>
              <w:instrText xml:space="preserve"> PAGEREF _Toc430001817 \h </w:instrText>
            </w:r>
            <w:r>
              <w:rPr>
                <w:webHidden/>
              </w:rPr>
            </w:r>
            <w:r>
              <w:rPr>
                <w:webHidden/>
              </w:rPr>
              <w:fldChar w:fldCharType="separate"/>
            </w:r>
            <w:r>
              <w:rPr>
                <w:webHidden/>
              </w:rPr>
              <w:t>20</w:t>
            </w:r>
            <w:r>
              <w:rPr>
                <w:webHidden/>
              </w:rPr>
              <w:fldChar w:fldCharType="end"/>
            </w:r>
          </w:hyperlink>
        </w:p>
        <w:p w14:paraId="6CE0B4B7"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18" w:history="1">
            <w:r w:rsidRPr="00CF7842">
              <w:rPr>
                <w:rStyle w:val="Hyperlink"/>
                <w:lang w:val="nl-NL"/>
              </w:rPr>
              <w:t>6.3</w:t>
            </w:r>
            <w:r>
              <w:rPr>
                <w:rFonts w:asciiTheme="minorHAnsi" w:eastAsiaTheme="minorEastAsia" w:hAnsiTheme="minorHAnsi" w:cstheme="minorBidi"/>
                <w:smallCaps w:val="0"/>
                <w:sz w:val="22"/>
                <w:szCs w:val="22"/>
                <w:lang w:val="de-DE" w:eastAsia="de-DE" w:bidi="ar-SA"/>
              </w:rPr>
              <w:tab/>
            </w:r>
            <w:r w:rsidRPr="00CF7842">
              <w:rPr>
                <w:rStyle w:val="Hyperlink"/>
              </w:rPr>
              <w:t>Conclusion</w:t>
            </w:r>
            <w:r>
              <w:rPr>
                <w:webHidden/>
              </w:rPr>
              <w:tab/>
            </w:r>
            <w:r>
              <w:rPr>
                <w:webHidden/>
              </w:rPr>
              <w:fldChar w:fldCharType="begin"/>
            </w:r>
            <w:r>
              <w:rPr>
                <w:webHidden/>
              </w:rPr>
              <w:instrText xml:space="preserve"> PAGEREF _Toc430001818 \h </w:instrText>
            </w:r>
            <w:r>
              <w:rPr>
                <w:webHidden/>
              </w:rPr>
            </w:r>
            <w:r>
              <w:rPr>
                <w:webHidden/>
              </w:rPr>
              <w:fldChar w:fldCharType="separate"/>
            </w:r>
            <w:r>
              <w:rPr>
                <w:webHidden/>
              </w:rPr>
              <w:t>21</w:t>
            </w:r>
            <w:r>
              <w:rPr>
                <w:webHidden/>
              </w:rPr>
              <w:fldChar w:fldCharType="end"/>
            </w:r>
          </w:hyperlink>
        </w:p>
        <w:p w14:paraId="0381CEAA"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19" w:history="1">
            <w:r w:rsidRPr="00CF7842">
              <w:rPr>
                <w:rStyle w:val="Hyperlink"/>
              </w:rPr>
              <w:t>7</w:t>
            </w:r>
            <w:r>
              <w:rPr>
                <w:rFonts w:asciiTheme="minorHAnsi" w:eastAsiaTheme="minorEastAsia" w:hAnsiTheme="minorHAnsi" w:cstheme="minorBidi"/>
                <w:b w:val="0"/>
                <w:bCs w:val="0"/>
                <w:caps w:val="0"/>
                <w:sz w:val="22"/>
                <w:szCs w:val="22"/>
                <w:lang w:val="de-DE" w:eastAsia="de-DE" w:bidi="ar-SA"/>
              </w:rPr>
              <w:tab/>
            </w:r>
            <w:r w:rsidRPr="00CF7842">
              <w:rPr>
                <w:rStyle w:val="Hyperlink"/>
              </w:rPr>
              <w:t>Profils propres</w:t>
            </w:r>
            <w:r>
              <w:rPr>
                <w:webHidden/>
              </w:rPr>
              <w:tab/>
            </w:r>
            <w:r>
              <w:rPr>
                <w:webHidden/>
              </w:rPr>
              <w:fldChar w:fldCharType="begin"/>
            </w:r>
            <w:r>
              <w:rPr>
                <w:webHidden/>
              </w:rPr>
              <w:instrText xml:space="preserve"> PAGEREF _Toc430001819 \h </w:instrText>
            </w:r>
            <w:r>
              <w:rPr>
                <w:webHidden/>
              </w:rPr>
            </w:r>
            <w:r>
              <w:rPr>
                <w:webHidden/>
              </w:rPr>
              <w:fldChar w:fldCharType="separate"/>
            </w:r>
            <w:r>
              <w:rPr>
                <w:webHidden/>
              </w:rPr>
              <w:t>22</w:t>
            </w:r>
            <w:r>
              <w:rPr>
                <w:webHidden/>
              </w:rPr>
              <w:fldChar w:fldCharType="end"/>
            </w:r>
          </w:hyperlink>
        </w:p>
        <w:p w14:paraId="25E1FEBD"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20" w:history="1">
            <w:r w:rsidRPr="00CF7842">
              <w:rPr>
                <w:rStyle w:val="Hyperlink"/>
                <w:lang w:val="nl-NL"/>
              </w:rPr>
              <w:t>7.1</w:t>
            </w:r>
            <w:r>
              <w:rPr>
                <w:rFonts w:asciiTheme="minorHAnsi" w:eastAsiaTheme="minorEastAsia" w:hAnsiTheme="minorHAnsi" w:cstheme="minorBidi"/>
                <w:smallCaps w:val="0"/>
                <w:sz w:val="22"/>
                <w:szCs w:val="22"/>
                <w:lang w:val="de-DE" w:eastAsia="de-DE" w:bidi="ar-SA"/>
              </w:rPr>
              <w:tab/>
            </w:r>
            <w:r w:rsidRPr="00CF7842">
              <w:rPr>
                <w:rStyle w:val="Hyperlink"/>
              </w:rPr>
              <w:t>Introduction</w:t>
            </w:r>
            <w:r>
              <w:rPr>
                <w:webHidden/>
              </w:rPr>
              <w:tab/>
            </w:r>
            <w:r>
              <w:rPr>
                <w:webHidden/>
              </w:rPr>
              <w:fldChar w:fldCharType="begin"/>
            </w:r>
            <w:r>
              <w:rPr>
                <w:webHidden/>
              </w:rPr>
              <w:instrText xml:space="preserve"> PAGEREF _Toc430001820 \h </w:instrText>
            </w:r>
            <w:r>
              <w:rPr>
                <w:webHidden/>
              </w:rPr>
            </w:r>
            <w:r>
              <w:rPr>
                <w:webHidden/>
              </w:rPr>
              <w:fldChar w:fldCharType="separate"/>
            </w:r>
            <w:r>
              <w:rPr>
                <w:webHidden/>
              </w:rPr>
              <w:t>22</w:t>
            </w:r>
            <w:r>
              <w:rPr>
                <w:webHidden/>
              </w:rPr>
              <w:fldChar w:fldCharType="end"/>
            </w:r>
          </w:hyperlink>
        </w:p>
        <w:p w14:paraId="69F66E3A"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21" w:history="1">
            <w:r w:rsidRPr="00CF7842">
              <w:rPr>
                <w:rStyle w:val="Hyperlink"/>
                <w:lang w:val="nl-NL"/>
              </w:rPr>
              <w:t>7.2</w:t>
            </w:r>
            <w:r>
              <w:rPr>
                <w:rFonts w:asciiTheme="minorHAnsi" w:eastAsiaTheme="minorEastAsia" w:hAnsiTheme="minorHAnsi" w:cstheme="minorBidi"/>
                <w:smallCaps w:val="0"/>
                <w:sz w:val="22"/>
                <w:szCs w:val="22"/>
                <w:lang w:val="de-DE" w:eastAsia="de-DE" w:bidi="ar-SA"/>
              </w:rPr>
              <w:tab/>
            </w:r>
            <w:r w:rsidRPr="00CF7842">
              <w:rPr>
                <w:rStyle w:val="Hyperlink"/>
              </w:rPr>
              <w:t>Analyse</w:t>
            </w:r>
            <w:r>
              <w:rPr>
                <w:webHidden/>
              </w:rPr>
              <w:tab/>
            </w:r>
            <w:r>
              <w:rPr>
                <w:webHidden/>
              </w:rPr>
              <w:fldChar w:fldCharType="begin"/>
            </w:r>
            <w:r>
              <w:rPr>
                <w:webHidden/>
              </w:rPr>
              <w:instrText xml:space="preserve"> PAGEREF _Toc430001821 \h </w:instrText>
            </w:r>
            <w:r>
              <w:rPr>
                <w:webHidden/>
              </w:rPr>
            </w:r>
            <w:r>
              <w:rPr>
                <w:webHidden/>
              </w:rPr>
              <w:fldChar w:fldCharType="separate"/>
            </w:r>
            <w:r>
              <w:rPr>
                <w:webHidden/>
              </w:rPr>
              <w:t>22</w:t>
            </w:r>
            <w:r>
              <w:rPr>
                <w:webHidden/>
              </w:rPr>
              <w:fldChar w:fldCharType="end"/>
            </w:r>
          </w:hyperlink>
        </w:p>
        <w:p w14:paraId="2DEF918B" w14:textId="77777777" w:rsidR="007C3387" w:rsidRDefault="007C3387">
          <w:pPr>
            <w:pStyle w:val="Verzeichnis2"/>
            <w:rPr>
              <w:rFonts w:asciiTheme="minorHAnsi" w:eastAsiaTheme="minorEastAsia" w:hAnsiTheme="minorHAnsi" w:cstheme="minorBidi"/>
              <w:smallCaps w:val="0"/>
              <w:sz w:val="22"/>
              <w:szCs w:val="22"/>
              <w:lang w:val="de-DE" w:eastAsia="de-DE" w:bidi="ar-SA"/>
            </w:rPr>
          </w:pPr>
          <w:hyperlink w:anchor="_Toc430001822" w:history="1">
            <w:r w:rsidRPr="00CF7842">
              <w:rPr>
                <w:rStyle w:val="Hyperlink"/>
                <w:lang w:val="nl-NL"/>
              </w:rPr>
              <w:t>7.3</w:t>
            </w:r>
            <w:r>
              <w:rPr>
                <w:rFonts w:asciiTheme="minorHAnsi" w:eastAsiaTheme="minorEastAsia" w:hAnsiTheme="minorHAnsi" w:cstheme="minorBidi"/>
                <w:smallCaps w:val="0"/>
                <w:sz w:val="22"/>
                <w:szCs w:val="22"/>
                <w:lang w:val="de-DE" w:eastAsia="de-DE" w:bidi="ar-SA"/>
              </w:rPr>
              <w:tab/>
            </w:r>
            <w:r w:rsidRPr="00CF7842">
              <w:rPr>
                <w:rStyle w:val="Hyperlink"/>
              </w:rPr>
              <w:t>Conclusion</w:t>
            </w:r>
            <w:r>
              <w:rPr>
                <w:webHidden/>
              </w:rPr>
              <w:tab/>
            </w:r>
            <w:r>
              <w:rPr>
                <w:webHidden/>
              </w:rPr>
              <w:fldChar w:fldCharType="begin"/>
            </w:r>
            <w:r>
              <w:rPr>
                <w:webHidden/>
              </w:rPr>
              <w:instrText xml:space="preserve"> PAGEREF _Toc430001822 \h </w:instrText>
            </w:r>
            <w:r>
              <w:rPr>
                <w:webHidden/>
              </w:rPr>
            </w:r>
            <w:r>
              <w:rPr>
                <w:webHidden/>
              </w:rPr>
              <w:fldChar w:fldCharType="separate"/>
            </w:r>
            <w:r>
              <w:rPr>
                <w:webHidden/>
              </w:rPr>
              <w:t>25</w:t>
            </w:r>
            <w:r>
              <w:rPr>
                <w:webHidden/>
              </w:rPr>
              <w:fldChar w:fldCharType="end"/>
            </w:r>
          </w:hyperlink>
        </w:p>
        <w:p w14:paraId="5AAF5F9B"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23" w:history="1">
            <w:r w:rsidRPr="00CF7842">
              <w:rPr>
                <w:rStyle w:val="Hyperlink"/>
              </w:rPr>
              <w:t>8</w:t>
            </w:r>
            <w:r>
              <w:rPr>
                <w:rFonts w:asciiTheme="minorHAnsi" w:eastAsiaTheme="minorEastAsia" w:hAnsiTheme="minorHAnsi" w:cstheme="minorBidi"/>
                <w:b w:val="0"/>
                <w:bCs w:val="0"/>
                <w:caps w:val="0"/>
                <w:sz w:val="22"/>
                <w:szCs w:val="22"/>
                <w:lang w:val="de-DE" w:eastAsia="de-DE" w:bidi="ar-SA"/>
              </w:rPr>
              <w:tab/>
            </w:r>
            <w:r w:rsidRPr="00CF7842">
              <w:rPr>
                <w:rStyle w:val="Hyperlink"/>
              </w:rPr>
              <w:t>Autres éléments des nouvelles annexes</w:t>
            </w:r>
            <w:r>
              <w:rPr>
                <w:webHidden/>
              </w:rPr>
              <w:tab/>
            </w:r>
            <w:r>
              <w:rPr>
                <w:webHidden/>
              </w:rPr>
              <w:fldChar w:fldCharType="begin"/>
            </w:r>
            <w:r>
              <w:rPr>
                <w:webHidden/>
              </w:rPr>
              <w:instrText xml:space="preserve"> PAGEREF _Toc430001823 \h </w:instrText>
            </w:r>
            <w:r>
              <w:rPr>
                <w:webHidden/>
              </w:rPr>
            </w:r>
            <w:r>
              <w:rPr>
                <w:webHidden/>
              </w:rPr>
              <w:fldChar w:fldCharType="separate"/>
            </w:r>
            <w:r>
              <w:rPr>
                <w:webHidden/>
              </w:rPr>
              <w:t>27</w:t>
            </w:r>
            <w:r>
              <w:rPr>
                <w:webHidden/>
              </w:rPr>
              <w:fldChar w:fldCharType="end"/>
            </w:r>
          </w:hyperlink>
        </w:p>
        <w:p w14:paraId="14F39C8C"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24" w:history="1">
            <w:r w:rsidRPr="00CF7842">
              <w:rPr>
                <w:rStyle w:val="Hyperlink"/>
              </w:rPr>
              <w:t>9</w:t>
            </w:r>
            <w:r>
              <w:rPr>
                <w:rFonts w:asciiTheme="minorHAnsi" w:eastAsiaTheme="minorEastAsia" w:hAnsiTheme="minorHAnsi" w:cstheme="minorBidi"/>
                <w:b w:val="0"/>
                <w:bCs w:val="0"/>
                <w:caps w:val="0"/>
                <w:sz w:val="22"/>
                <w:szCs w:val="22"/>
                <w:lang w:val="de-DE" w:eastAsia="de-DE" w:bidi="ar-SA"/>
              </w:rPr>
              <w:tab/>
            </w:r>
            <w:r w:rsidRPr="00CF7842">
              <w:rPr>
                <w:rStyle w:val="Hyperlink"/>
              </w:rPr>
              <w:t>Décision</w:t>
            </w:r>
            <w:r>
              <w:rPr>
                <w:webHidden/>
              </w:rPr>
              <w:tab/>
            </w:r>
            <w:r>
              <w:rPr>
                <w:webHidden/>
              </w:rPr>
              <w:fldChar w:fldCharType="begin"/>
            </w:r>
            <w:r>
              <w:rPr>
                <w:webHidden/>
              </w:rPr>
              <w:instrText xml:space="preserve"> PAGEREF _Toc430001824 \h </w:instrText>
            </w:r>
            <w:r>
              <w:rPr>
                <w:webHidden/>
              </w:rPr>
            </w:r>
            <w:r>
              <w:rPr>
                <w:webHidden/>
              </w:rPr>
              <w:fldChar w:fldCharType="separate"/>
            </w:r>
            <w:r>
              <w:rPr>
                <w:webHidden/>
              </w:rPr>
              <w:t>28</w:t>
            </w:r>
            <w:r>
              <w:rPr>
                <w:webHidden/>
              </w:rPr>
              <w:fldChar w:fldCharType="end"/>
            </w:r>
          </w:hyperlink>
        </w:p>
        <w:p w14:paraId="60C9552A"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25" w:history="1">
            <w:r w:rsidRPr="00CF7842">
              <w:rPr>
                <w:rStyle w:val="Hyperlink"/>
              </w:rPr>
              <w:t>10</w:t>
            </w:r>
            <w:r>
              <w:rPr>
                <w:rFonts w:asciiTheme="minorHAnsi" w:eastAsiaTheme="minorEastAsia" w:hAnsiTheme="minorHAnsi" w:cstheme="minorBidi"/>
                <w:b w:val="0"/>
                <w:bCs w:val="0"/>
                <w:caps w:val="0"/>
                <w:sz w:val="22"/>
                <w:szCs w:val="22"/>
                <w:lang w:val="de-DE" w:eastAsia="de-DE" w:bidi="ar-SA"/>
              </w:rPr>
              <w:tab/>
            </w:r>
            <w:r w:rsidRPr="00CF7842">
              <w:rPr>
                <w:rStyle w:val="Hyperlink"/>
              </w:rPr>
              <w:t>Voies de recours</w:t>
            </w:r>
            <w:r>
              <w:rPr>
                <w:webHidden/>
              </w:rPr>
              <w:tab/>
            </w:r>
            <w:r>
              <w:rPr>
                <w:webHidden/>
              </w:rPr>
              <w:fldChar w:fldCharType="begin"/>
            </w:r>
            <w:r>
              <w:rPr>
                <w:webHidden/>
              </w:rPr>
              <w:instrText xml:space="preserve"> PAGEREF _Toc430001825 \h </w:instrText>
            </w:r>
            <w:r>
              <w:rPr>
                <w:webHidden/>
              </w:rPr>
            </w:r>
            <w:r>
              <w:rPr>
                <w:webHidden/>
              </w:rPr>
              <w:fldChar w:fldCharType="separate"/>
            </w:r>
            <w:r>
              <w:rPr>
                <w:webHidden/>
              </w:rPr>
              <w:t>29</w:t>
            </w:r>
            <w:r>
              <w:rPr>
                <w:webHidden/>
              </w:rPr>
              <w:fldChar w:fldCharType="end"/>
            </w:r>
          </w:hyperlink>
        </w:p>
        <w:p w14:paraId="26D50FD7" w14:textId="77777777" w:rsidR="007C3387" w:rsidRDefault="007C3387">
          <w:pPr>
            <w:pStyle w:val="Verzeichnis1"/>
            <w:rPr>
              <w:rFonts w:asciiTheme="minorHAnsi" w:eastAsiaTheme="minorEastAsia" w:hAnsiTheme="minorHAnsi" w:cstheme="minorBidi"/>
              <w:b w:val="0"/>
              <w:bCs w:val="0"/>
              <w:caps w:val="0"/>
              <w:sz w:val="22"/>
              <w:szCs w:val="22"/>
              <w:lang w:val="de-DE" w:eastAsia="de-DE" w:bidi="ar-SA"/>
            </w:rPr>
          </w:pPr>
          <w:hyperlink w:anchor="_Toc430001826" w:history="1">
            <w:r w:rsidRPr="00CF7842">
              <w:rPr>
                <w:rStyle w:val="Hyperlink"/>
              </w:rPr>
              <w:t>11</w:t>
            </w:r>
            <w:r>
              <w:rPr>
                <w:rFonts w:asciiTheme="minorHAnsi" w:eastAsiaTheme="minorEastAsia" w:hAnsiTheme="minorHAnsi" w:cstheme="minorBidi"/>
                <w:b w:val="0"/>
                <w:bCs w:val="0"/>
                <w:caps w:val="0"/>
                <w:sz w:val="22"/>
                <w:szCs w:val="22"/>
                <w:lang w:val="de-DE" w:eastAsia="de-DE" w:bidi="ar-SA"/>
              </w:rPr>
              <w:tab/>
            </w:r>
            <w:r w:rsidRPr="00CF7842">
              <w:rPr>
                <w:rStyle w:val="Hyperlink"/>
              </w:rPr>
              <w:t>Signatures</w:t>
            </w:r>
            <w:r>
              <w:rPr>
                <w:webHidden/>
              </w:rPr>
              <w:tab/>
            </w:r>
            <w:r>
              <w:rPr>
                <w:webHidden/>
              </w:rPr>
              <w:fldChar w:fldCharType="begin"/>
            </w:r>
            <w:r>
              <w:rPr>
                <w:webHidden/>
              </w:rPr>
              <w:instrText xml:space="preserve"> PAGEREF _Toc430001826 \h </w:instrText>
            </w:r>
            <w:r>
              <w:rPr>
                <w:webHidden/>
              </w:rPr>
            </w:r>
            <w:r>
              <w:rPr>
                <w:webHidden/>
              </w:rPr>
              <w:fldChar w:fldCharType="separate"/>
            </w:r>
            <w:r>
              <w:rPr>
                <w:webHidden/>
              </w:rPr>
              <w:t>30</w:t>
            </w:r>
            <w:r>
              <w:rPr>
                <w:webHidden/>
              </w:rPr>
              <w:fldChar w:fldCharType="end"/>
            </w:r>
          </w:hyperlink>
        </w:p>
        <w:p w14:paraId="051DD4E7" w14:textId="77777777" w:rsidR="0029272C" w:rsidRDefault="00572AB0">
          <w:pPr>
            <w:pStyle w:val="Verzeichnis1"/>
            <w:rPr>
              <w:rFonts w:asciiTheme="minorHAnsi" w:eastAsiaTheme="minorEastAsia" w:hAnsiTheme="minorHAnsi" w:cstheme="minorBidi"/>
              <w:b w:val="0"/>
              <w:bCs w:val="0"/>
              <w:caps w:val="0"/>
              <w:sz w:val="22"/>
              <w:szCs w:val="22"/>
            </w:rPr>
          </w:pPr>
          <w:r w:rsidRPr="00291CE2">
            <w:fldChar w:fldCharType="end"/>
          </w:r>
        </w:p>
      </w:sdtContent>
    </w:sdt>
    <w:p w14:paraId="051DD4E8" w14:textId="77777777" w:rsidR="00572AB0" w:rsidRPr="00291CE2" w:rsidRDefault="00572AB0" w:rsidP="00572AB0"/>
    <w:p w14:paraId="051DD4E9" w14:textId="77777777" w:rsidR="00572AB0" w:rsidRPr="00291CE2" w:rsidRDefault="00572AB0" w:rsidP="00572AB0"/>
    <w:p w14:paraId="051DD4EA" w14:textId="77777777" w:rsidR="00572AB0" w:rsidRPr="00291CE2" w:rsidRDefault="00572AB0" w:rsidP="00572AB0">
      <w:pPr>
        <w:pStyle w:val="berschrift1"/>
        <w:numPr>
          <w:ilvl w:val="0"/>
          <w:numId w:val="2"/>
        </w:numPr>
        <w:rPr>
          <w:bCs w:val="0"/>
          <w:szCs w:val="24"/>
        </w:rPr>
      </w:pPr>
      <w:bookmarkStart w:id="1" w:name="_Toc422491247"/>
      <w:bookmarkStart w:id="2" w:name="_Toc305507947"/>
      <w:bookmarkStart w:id="3" w:name="_Toc430001800"/>
      <w:r>
        <w:lastRenderedPageBreak/>
        <w:t>Introduction</w:t>
      </w:r>
      <w:bookmarkEnd w:id="1"/>
      <w:bookmarkEnd w:id="3"/>
    </w:p>
    <w:bookmarkEnd w:id="2"/>
    <w:p w14:paraId="051DD4EB" w14:textId="519091A5" w:rsidR="001E3A59" w:rsidRPr="00291CE2" w:rsidRDefault="001E3A59" w:rsidP="00CF7193">
      <w:pPr>
        <w:pStyle w:val="Opmaakprofiel1"/>
      </w:pPr>
      <w:r>
        <w:t xml:space="preserve">Le 1er juillet 2011, la Conférence des régulateurs du secteur des communications électroniques (ci-après dénommée « la CRC ») a adopté une décision concernant l’analyse du marché radiodiffusion télévisuelle sur le territoire de la région </w:t>
      </w:r>
      <w:r w:rsidR="006730F3">
        <w:t>de langue allemande</w:t>
      </w:r>
      <w:r>
        <w:t>.</w:t>
      </w:r>
      <w:r>
        <w:rPr>
          <w:rStyle w:val="Funotenzeichen"/>
        </w:rPr>
        <w:footnoteReference w:id="2"/>
      </w:r>
      <w:r>
        <w:t xml:space="preserve"> Cette décision impose un certain nombre de mesures de gros </w:t>
      </w:r>
      <w:r w:rsidR="006730F3">
        <w:t>à l’</w:t>
      </w:r>
      <w:r>
        <w:t>opérateur puissant</w:t>
      </w:r>
      <w:r w:rsidR="006730F3">
        <w:t xml:space="preserve"> (ci-après dénommé</w:t>
      </w:r>
      <w:r>
        <w:t xml:space="preserve"> « opérateur PSM »). Ce</w:t>
      </w:r>
      <w:r w:rsidR="006730F3">
        <w:t>t</w:t>
      </w:r>
      <w:r>
        <w:t xml:space="preserve"> opérateur</w:t>
      </w:r>
      <w:r w:rsidR="006730F3">
        <w:t xml:space="preserve"> PSM doi</w:t>
      </w:r>
      <w:r>
        <w:t xml:space="preserve">t ouvrir </w:t>
      </w:r>
      <w:r w:rsidR="006730F3">
        <w:t xml:space="preserve">son </w:t>
      </w:r>
      <w:r>
        <w:t xml:space="preserve">réseau aux opérateurs alternatifs en offrant les services suivants : </w:t>
      </w:r>
    </w:p>
    <w:p w14:paraId="051DD4EC" w14:textId="77777777" w:rsidR="001E3A59" w:rsidRPr="00291CE2" w:rsidRDefault="001E3A59" w:rsidP="00A15296">
      <w:pPr>
        <w:pStyle w:val="Opmaakprofiel1"/>
        <w:numPr>
          <w:ilvl w:val="0"/>
          <w:numId w:val="13"/>
        </w:numPr>
        <w:ind w:left="1276"/>
      </w:pPr>
      <w:r>
        <w:t>l'accès à une offre de revente pour leur offre de télévision analogique ;</w:t>
      </w:r>
    </w:p>
    <w:p w14:paraId="051DD4ED" w14:textId="77777777" w:rsidR="001E3A59" w:rsidRPr="00291CE2" w:rsidRDefault="001E3A59" w:rsidP="00A15296">
      <w:pPr>
        <w:pStyle w:val="Opmaakprofiel1"/>
        <w:numPr>
          <w:ilvl w:val="0"/>
          <w:numId w:val="13"/>
        </w:numPr>
        <w:ind w:left="1276"/>
      </w:pPr>
      <w:r>
        <w:t>l'accès à leur plateforme de télévision numérique ;</w:t>
      </w:r>
    </w:p>
    <w:p w14:paraId="051DD4EE" w14:textId="77777777" w:rsidR="001E3A59" w:rsidRPr="00291CE2" w:rsidRDefault="001E3A59" w:rsidP="00A15296">
      <w:pPr>
        <w:pStyle w:val="Opmaakprofiel1"/>
        <w:numPr>
          <w:ilvl w:val="0"/>
          <w:numId w:val="13"/>
        </w:numPr>
        <w:ind w:left="1276"/>
      </w:pPr>
      <w:r>
        <w:t xml:space="preserve">l'accès à une offre de revente pour l’Internet large bande. </w:t>
      </w:r>
    </w:p>
    <w:p w14:paraId="051DD4EF" w14:textId="6374165E" w:rsidR="001E3A59" w:rsidRPr="00291CE2" w:rsidRDefault="001E3A59" w:rsidP="00CF7193">
      <w:pPr>
        <w:pStyle w:val="Opmaakprofiel1"/>
      </w:pPr>
      <w:r>
        <w:t>De plus, ce</w:t>
      </w:r>
      <w:r w:rsidR="006730F3">
        <w:t>t</w:t>
      </w:r>
      <w:r>
        <w:t xml:space="preserve"> opérateur puissant </w:t>
      </w:r>
      <w:r w:rsidR="006730F3">
        <w:t>est</w:t>
      </w:r>
      <w:r>
        <w:t xml:space="preserve"> également soumis à une obligation de transparence. En vertu de cette obligation, ce</w:t>
      </w:r>
      <w:r w:rsidR="006730F3">
        <w:t>t</w:t>
      </w:r>
      <w:r>
        <w:t xml:space="preserve"> opérateur doit élaborer une offre de référence publique concernant ces trois obligations d'accès de gros 6 mois après l’entrée en vigueur de la décision de la CRC du 1er juillet 2011.  </w:t>
      </w:r>
    </w:p>
    <w:p w14:paraId="051DD4F0" w14:textId="4914A814" w:rsidR="001E3A59" w:rsidRPr="00291CE2" w:rsidRDefault="001E3A59" w:rsidP="00CF7193">
      <w:pPr>
        <w:pStyle w:val="Opmaakprofiel1"/>
      </w:pPr>
      <w:r>
        <w:t xml:space="preserve">En tant que régulateur des médias sur le territoire </w:t>
      </w:r>
      <w:r w:rsidR="006730F3">
        <w:t>de la région de langue allemande</w:t>
      </w:r>
      <w:r>
        <w:t xml:space="preserve">, </w:t>
      </w:r>
      <w:r w:rsidR="006730F3">
        <w:t xml:space="preserve">la Chambre décisionnelle du </w:t>
      </w:r>
      <w:proofErr w:type="spellStart"/>
      <w:r w:rsidR="006730F3" w:rsidRPr="000A7D2C">
        <w:rPr>
          <w:i/>
        </w:rPr>
        <w:t>Medienrat</w:t>
      </w:r>
      <w:proofErr w:type="spellEnd"/>
      <w:r w:rsidR="006730F3">
        <w:t xml:space="preserve"> (ci-après, le MEDIENRAT) </w:t>
      </w:r>
      <w:r>
        <w:t>est compétent</w:t>
      </w:r>
      <w:r w:rsidR="006730F3">
        <w:t>e</w:t>
      </w:r>
      <w:r>
        <w:t xml:space="preserve"> pour la mise en œuvre de cette décision auprès de</w:t>
      </w:r>
      <w:r w:rsidR="006730F3">
        <w:t xml:space="preserve"> l’</w:t>
      </w:r>
      <w:r>
        <w:t xml:space="preserve">opérateur qui offre des services dans la </w:t>
      </w:r>
      <w:r w:rsidR="006730F3">
        <w:t>r</w:t>
      </w:r>
      <w:r>
        <w:t xml:space="preserve">égion de </w:t>
      </w:r>
      <w:r w:rsidR="006730F3">
        <w:t>langue allemande</w:t>
      </w:r>
      <w:r>
        <w:t xml:space="preserve">, à savoir </w:t>
      </w:r>
      <w:proofErr w:type="spellStart"/>
      <w:r w:rsidR="006730F3">
        <w:t>Nethys</w:t>
      </w:r>
      <w:proofErr w:type="spellEnd"/>
      <w:r>
        <w:t xml:space="preserve">. </w:t>
      </w:r>
      <w:proofErr w:type="spellStart"/>
      <w:r w:rsidR="006730F3">
        <w:t>Nethys</w:t>
      </w:r>
      <w:proofErr w:type="spellEnd"/>
      <w:r w:rsidR="006730F3">
        <w:t xml:space="preserve"> S.A. s’est substituée à </w:t>
      </w:r>
      <w:proofErr w:type="spellStart"/>
      <w:r w:rsidR="006730F3">
        <w:t>Tecteo</w:t>
      </w:r>
      <w:proofErr w:type="spellEnd"/>
      <w:r w:rsidR="006730F3">
        <w:t xml:space="preserve"> </w:t>
      </w:r>
      <w:proofErr w:type="spellStart"/>
      <w:r w:rsidR="006730F3">
        <w:t>scrl</w:t>
      </w:r>
      <w:proofErr w:type="spellEnd"/>
      <w:r w:rsidR="006730F3">
        <w:t xml:space="preserve"> (aujourd’hui dénommée PUBLIFIN) dans ses droits et obligations, suite à l’apport de branche de </w:t>
      </w:r>
      <w:proofErr w:type="spellStart"/>
      <w:r w:rsidR="006730F3">
        <w:t>Tecteo</w:t>
      </w:r>
      <w:proofErr w:type="spellEnd"/>
      <w:r w:rsidR="006730F3">
        <w:t xml:space="preserve"> vers </w:t>
      </w:r>
      <w:proofErr w:type="spellStart"/>
      <w:r w:rsidR="006730F3">
        <w:t>Nethys</w:t>
      </w:r>
      <w:proofErr w:type="spellEnd"/>
      <w:r w:rsidR="006730F3">
        <w:t xml:space="preserve"> effectué le 20 juin 2014. </w:t>
      </w:r>
      <w:proofErr w:type="spellStart"/>
      <w:r w:rsidR="006730F3">
        <w:t>Tecteo</w:t>
      </w:r>
      <w:proofErr w:type="spellEnd"/>
      <w:r w:rsidR="006730F3">
        <w:t xml:space="preserve"> </w:t>
      </w:r>
      <w:proofErr w:type="spellStart"/>
      <w:r w:rsidR="006730F3">
        <w:t>scrl</w:t>
      </w:r>
      <w:proofErr w:type="spellEnd"/>
      <w:r w:rsidR="006730F3">
        <w:t xml:space="preserve"> avait été identifiée comme opérateur ayant une position dominante sur le marché par la décision de la CRC du 1</w:t>
      </w:r>
      <w:r w:rsidR="006730F3" w:rsidRPr="00060BCB">
        <w:rPr>
          <w:vertAlign w:val="superscript"/>
        </w:rPr>
        <w:t>er</w:t>
      </w:r>
      <w:r w:rsidR="006730F3">
        <w:t xml:space="preserve"> juillet 2011. Pour faciliter la lecture, dans les pages suivantes, il sera fait usage uniquement de la dénomination « </w:t>
      </w:r>
      <w:proofErr w:type="spellStart"/>
      <w:r w:rsidR="006730F3">
        <w:t>Nethys</w:t>
      </w:r>
      <w:proofErr w:type="spellEnd"/>
      <w:r w:rsidR="006730F3">
        <w:t> »</w:t>
      </w:r>
    </w:p>
    <w:p w14:paraId="051DD4F1" w14:textId="755A622D" w:rsidR="001E3A59" w:rsidRPr="00291CE2" w:rsidRDefault="006730F3" w:rsidP="00CF7193">
      <w:pPr>
        <w:pStyle w:val="Opmaakprofiel1"/>
      </w:pPr>
      <w:proofErr w:type="spellStart"/>
      <w:r>
        <w:t>Nethys</w:t>
      </w:r>
      <w:proofErr w:type="spellEnd"/>
      <w:r w:rsidR="004E0F54">
        <w:t xml:space="preserve"> a introduit une proposition d'offre de référence pour la première </w:t>
      </w:r>
      <w:r w:rsidR="004E0F54" w:rsidRPr="002F6527">
        <w:t xml:space="preserve">fois le </w:t>
      </w:r>
      <w:r>
        <w:t>31 janvi</w:t>
      </w:r>
      <w:r w:rsidR="004E0F54" w:rsidRPr="002F6527">
        <w:t>er 2012. L</w:t>
      </w:r>
      <w:r w:rsidR="004E0F54">
        <w:t xml:space="preserve">e 3 septembre 2013, la CRC a adopté une décision concernant les aspects qualitatifs de l'offre de référence proposée par </w:t>
      </w:r>
      <w:proofErr w:type="spellStart"/>
      <w:r>
        <w:t>Nethys</w:t>
      </w:r>
      <w:proofErr w:type="spellEnd"/>
      <w:r w:rsidR="002F6527">
        <w:rPr>
          <w:rStyle w:val="Funotenzeichen"/>
        </w:rPr>
        <w:footnoteReference w:id="3"/>
      </w:r>
      <w:r w:rsidR="004E0F54">
        <w:t xml:space="preserve"> (ci-après : « la décision de la CRC ») comprenant plusieurs adaptations imposées de l'offre de </w:t>
      </w:r>
      <w:r w:rsidR="004E0F54">
        <w:lastRenderedPageBreak/>
        <w:t xml:space="preserve">référence proposée par </w:t>
      </w:r>
      <w:proofErr w:type="spellStart"/>
      <w:r>
        <w:t>Nethys</w:t>
      </w:r>
      <w:proofErr w:type="spellEnd"/>
      <w:r w:rsidR="004E0F54">
        <w:t xml:space="preserve">. </w:t>
      </w:r>
      <w:r w:rsidR="002F6527">
        <w:t xml:space="preserve">Le 10 octobre 2013, suite à cette décision, </w:t>
      </w:r>
      <w:proofErr w:type="spellStart"/>
      <w:r>
        <w:t>Nethys</w:t>
      </w:r>
      <w:proofErr w:type="spellEnd"/>
      <w:r>
        <w:t xml:space="preserve"> </w:t>
      </w:r>
      <w:r w:rsidR="002F6527">
        <w:t xml:space="preserve">a présenté une offre modifiée </w:t>
      </w:r>
      <w:r>
        <w:t>au MEDIENRAT</w:t>
      </w:r>
      <w:r w:rsidR="002F6527">
        <w:t>.</w:t>
      </w:r>
    </w:p>
    <w:p w14:paraId="051DD4F2" w14:textId="2BFF8100" w:rsidR="001E3A59" w:rsidRDefault="001E3A59" w:rsidP="00CF7193">
      <w:pPr>
        <w:pStyle w:val="Opmaakprofiel1"/>
      </w:pPr>
      <w:r>
        <w:t>Le 29 octobre 2013, la CRC a publié l'offre de référence adaptée</w:t>
      </w:r>
      <w:r w:rsidR="006730F3">
        <w:t>. Néanmoins, comme l’a souligné l’IBPT dans une</w:t>
      </w:r>
      <w:r>
        <w:t xml:space="preserve"> communication </w:t>
      </w:r>
      <w:r w:rsidR="006730F3">
        <w:t xml:space="preserve">accompagnant l’offre de référence de </w:t>
      </w:r>
      <w:proofErr w:type="spellStart"/>
      <w:r w:rsidR="006730F3">
        <w:t>Brutélé</w:t>
      </w:r>
      <w:proofErr w:type="spellEnd"/>
      <w:r w:rsidR="006730F3">
        <w:t xml:space="preserve"> (parallèle à celle de </w:t>
      </w:r>
      <w:proofErr w:type="spellStart"/>
      <w:r w:rsidR="006730F3">
        <w:t>Nethys</w:t>
      </w:r>
      <w:proofErr w:type="spellEnd"/>
      <w:r w:rsidR="006730F3">
        <w:t>)</w:t>
      </w:r>
      <w:r>
        <w:t xml:space="preserve"> : </w:t>
      </w:r>
      <w:r>
        <w:rPr>
          <w:i/>
        </w:rPr>
        <w:t>« L’IBPT souligne que ces offres de référence ne sont pas encore tout à fait alignées sur les décisions de la CRC du 3 septembre 2013. »</w:t>
      </w:r>
      <w:r>
        <w:t xml:space="preserve"> Ces divergences par rapport à la décision de la CRC du 3 septembre 2013 ont empêché une approbation de l'offre de référence dans cette version.</w:t>
      </w:r>
    </w:p>
    <w:p w14:paraId="051DD4F3" w14:textId="3186F701" w:rsidR="00B70109" w:rsidRPr="009528C0" w:rsidRDefault="008619F6" w:rsidP="00CF7193">
      <w:pPr>
        <w:pStyle w:val="Opmaakprofiel1"/>
      </w:pPr>
      <w:r>
        <w:t xml:space="preserve">Il y a ensuite eu un échange régulier d'informations entre </w:t>
      </w:r>
      <w:r w:rsidR="006730F3">
        <w:t>régulateurs</w:t>
      </w:r>
      <w:r>
        <w:t xml:space="preserve"> et </w:t>
      </w:r>
      <w:proofErr w:type="spellStart"/>
      <w:r w:rsidR="006730F3">
        <w:t>Nethys</w:t>
      </w:r>
      <w:proofErr w:type="spellEnd"/>
      <w:r>
        <w:rPr>
          <w:rStyle w:val="Funotenzeichen"/>
        </w:rPr>
        <w:footnoteReference w:id="4"/>
      </w:r>
      <w:r>
        <w:t xml:space="preserve"> et suite au recours introduit par </w:t>
      </w:r>
      <w:proofErr w:type="spellStart"/>
      <w:r w:rsidR="006730F3">
        <w:t>Nethys</w:t>
      </w:r>
      <w:proofErr w:type="spellEnd"/>
      <w:r w:rsidR="006730F3">
        <w:t xml:space="preserve"> </w:t>
      </w:r>
      <w:r>
        <w:t>contre la décision du 3 septembre 2013.</w:t>
      </w:r>
    </w:p>
    <w:p w14:paraId="051DD4F4" w14:textId="70808BF2" w:rsidR="00AC4301" w:rsidRDefault="00411452" w:rsidP="00CF7193">
      <w:pPr>
        <w:pStyle w:val="Opmaakprofiel1"/>
      </w:pPr>
      <w:r>
        <w:t xml:space="preserve">Le </w:t>
      </w:r>
      <w:r w:rsidR="006730F3">
        <w:t>13</w:t>
      </w:r>
      <w:r>
        <w:t xml:space="preserve"> février 2015, </w:t>
      </w:r>
      <w:proofErr w:type="spellStart"/>
      <w:r w:rsidR="006730F3">
        <w:t>Nethys</w:t>
      </w:r>
      <w:proofErr w:type="spellEnd"/>
      <w:r w:rsidR="006730F3">
        <w:t xml:space="preserve"> </w:t>
      </w:r>
      <w:r>
        <w:t xml:space="preserve">a transmis une dernière version adaptée de son offre de référence </w:t>
      </w:r>
      <w:r w:rsidR="006730F3">
        <w:t>au MEDIENRAT</w:t>
      </w:r>
      <w:r>
        <w:t>.</w:t>
      </w:r>
    </w:p>
    <w:p w14:paraId="051DD4F5" w14:textId="6B7929CB" w:rsidR="004E5223" w:rsidRDefault="00CB25BB" w:rsidP="00CF7193">
      <w:pPr>
        <w:pStyle w:val="Opmaakprofiel1"/>
      </w:pPr>
      <w:r>
        <w:t>Il découle de</w:t>
      </w:r>
      <w:r w:rsidR="00411452">
        <w:t xml:space="preserve"> l'article</w:t>
      </w:r>
      <w:r>
        <w:t xml:space="preserve"> 72.1 du</w:t>
      </w:r>
      <w:r w:rsidR="00411452">
        <w:t xml:space="preserve"> </w:t>
      </w:r>
      <w:r>
        <w:t xml:space="preserve">décret du 27 juin 2005 sur les services de </w:t>
      </w:r>
      <w:r w:rsidR="00411452">
        <w:t xml:space="preserve">médias audiovisuels </w:t>
      </w:r>
      <w:r>
        <w:t>et les représentations cinématographiques</w:t>
      </w:r>
      <w:r w:rsidR="00411452">
        <w:rPr>
          <w:rStyle w:val="Funotenzeichen"/>
        </w:rPr>
        <w:footnoteReference w:id="5"/>
      </w:r>
      <w:r>
        <w:t xml:space="preserve"> (ci-après « le décret du 27 juin 2005</w:t>
      </w:r>
      <w:r w:rsidR="00411452">
        <w:t xml:space="preserve"> »), l'offre de référence doit être approuvée par </w:t>
      </w:r>
      <w:r>
        <w:t>le MEDIENRAT</w:t>
      </w:r>
      <w:r w:rsidR="00411452">
        <w:t xml:space="preserve">. </w:t>
      </w:r>
    </w:p>
    <w:p w14:paraId="051DD4F6" w14:textId="1BF51A3D" w:rsidR="00411452" w:rsidRDefault="00AC4301" w:rsidP="00CF7193">
      <w:pPr>
        <w:pStyle w:val="Opmaakprofiel1"/>
      </w:pPr>
      <w:r>
        <w:t xml:space="preserve">La présente décision analyse la conformité de l'offre de référence de </w:t>
      </w:r>
      <w:proofErr w:type="spellStart"/>
      <w:r w:rsidR="00CB25BB">
        <w:t>Nethys</w:t>
      </w:r>
      <w:proofErr w:type="spellEnd"/>
      <w:r>
        <w:t xml:space="preserve"> à la décision de la CRC du 3 septembre 2013 relative aux aspects qualitatifs de l'offre de référence</w:t>
      </w:r>
      <w:r w:rsidR="002C1EAF">
        <w:t xml:space="preserve"> et à la décision de la CRC du 1 juillet 2011 concernant l’analyse du marché radiodiffusion télévisuelle sur le territoire de la région </w:t>
      </w:r>
      <w:r w:rsidR="00CB25BB">
        <w:t>de langue allemande</w:t>
      </w:r>
      <w:r>
        <w:t>.</w:t>
      </w:r>
    </w:p>
    <w:p w14:paraId="051DD4F7" w14:textId="77777777" w:rsidR="00572AB0" w:rsidRPr="00291CE2" w:rsidRDefault="00572AB0" w:rsidP="00572AB0">
      <w:pPr>
        <w:pStyle w:val="berschrift1"/>
        <w:numPr>
          <w:ilvl w:val="0"/>
          <w:numId w:val="2"/>
        </w:numPr>
      </w:pPr>
      <w:bookmarkStart w:id="4" w:name="_Toc422491248"/>
      <w:bookmarkStart w:id="5" w:name="_Toc430001801"/>
      <w:r>
        <w:lastRenderedPageBreak/>
        <w:t>Procédure</w:t>
      </w:r>
      <w:bookmarkEnd w:id="4"/>
      <w:bookmarkEnd w:id="5"/>
      <w:r>
        <w:t xml:space="preserve"> </w:t>
      </w:r>
    </w:p>
    <w:p w14:paraId="051DD4F8" w14:textId="77777777" w:rsidR="00572AB0" w:rsidRPr="00291CE2" w:rsidRDefault="003438F4" w:rsidP="00E1047F">
      <w:pPr>
        <w:pStyle w:val="berschrift2"/>
      </w:pPr>
      <w:bookmarkStart w:id="6" w:name="_Toc422491249"/>
      <w:bookmarkStart w:id="7" w:name="_Toc430001802"/>
      <w:r>
        <w:t>Rétroactes</w:t>
      </w:r>
      <w:bookmarkEnd w:id="6"/>
      <w:bookmarkEnd w:id="7"/>
    </w:p>
    <w:p w14:paraId="051DD4F9" w14:textId="7F0CC5E8" w:rsidR="00B20723" w:rsidRDefault="00CB25BB" w:rsidP="00B20723">
      <w:pPr>
        <w:pStyle w:val="berschrift3"/>
      </w:pPr>
      <w:proofErr w:type="spellStart"/>
      <w:r>
        <w:t>Nethys</w:t>
      </w:r>
      <w:proofErr w:type="spellEnd"/>
    </w:p>
    <w:p w14:paraId="051DD4FA" w14:textId="26F924D4" w:rsidR="00524C8F" w:rsidRPr="00524C8F" w:rsidRDefault="00DB2D5B" w:rsidP="00A15296">
      <w:pPr>
        <w:pStyle w:val="Opmaakprofiel1"/>
      </w:pPr>
      <w:r>
        <w:t xml:space="preserve"> À partir de l’entrée en vigueur de la décision de la CRC relative à la radiodiffusion télévisuelle le 1er août 2011, </w:t>
      </w:r>
      <w:proofErr w:type="spellStart"/>
      <w:r w:rsidR="00CB25BB">
        <w:t>Nethys</w:t>
      </w:r>
      <w:proofErr w:type="spellEnd"/>
      <w:r>
        <w:t xml:space="preserve"> disposait de six mois pour soumettre une proposition d’offre de référence à l’IBPT. </w:t>
      </w:r>
      <w:proofErr w:type="spellStart"/>
      <w:r w:rsidR="00CB25BB">
        <w:t>Nethys</w:t>
      </w:r>
      <w:proofErr w:type="spellEnd"/>
      <w:r w:rsidR="00CB25BB">
        <w:t xml:space="preserve"> </w:t>
      </w:r>
      <w:r>
        <w:t xml:space="preserve">a déposé un projet d'offre de référence le </w:t>
      </w:r>
      <w:r w:rsidR="00CB25BB">
        <w:t>31 janvier</w:t>
      </w:r>
      <w:r>
        <w:t xml:space="preserve"> 2012. Même si cette proposition était loin d'être complète, </w:t>
      </w:r>
      <w:r w:rsidR="00CB25BB">
        <w:t>le MEDIENRAT</w:t>
      </w:r>
      <w:r>
        <w:t xml:space="preserve"> a accepté, dans le cadre d’une collaboration constructive, que </w:t>
      </w:r>
      <w:proofErr w:type="spellStart"/>
      <w:r w:rsidR="00CB25BB">
        <w:t>Nethys</w:t>
      </w:r>
      <w:proofErr w:type="spellEnd"/>
      <w:r w:rsidR="00CB25BB">
        <w:t xml:space="preserve"> </w:t>
      </w:r>
      <w:r>
        <w:t xml:space="preserve">puisse encore ajouter des éléments supplémentaires au-delà de ce délai. </w:t>
      </w:r>
      <w:proofErr w:type="spellStart"/>
      <w:r w:rsidR="00CB25BB">
        <w:t>Nethys</w:t>
      </w:r>
      <w:proofErr w:type="spellEnd"/>
      <w:r w:rsidR="00CB25BB">
        <w:t xml:space="preserve"> </w:t>
      </w:r>
      <w:r>
        <w:t>y était également priée d'apporter davantage de clarté aux éléments déjà fournis.</w:t>
      </w:r>
    </w:p>
    <w:p w14:paraId="051DD4FB" w14:textId="5C481209" w:rsidR="00505719" w:rsidRDefault="00124E11" w:rsidP="003D7734">
      <w:pPr>
        <w:pStyle w:val="Opmaakprofiel1"/>
      </w:pPr>
      <w:r>
        <w:t xml:space="preserve">Suite à cela, </w:t>
      </w:r>
      <w:r w:rsidR="00CB25BB">
        <w:t>le MEDIENRAT</w:t>
      </w:r>
      <w:r>
        <w:t xml:space="preserve"> a </w:t>
      </w:r>
      <w:r w:rsidR="00CB25BB">
        <w:t xml:space="preserve">pu compter sur les résultats de la consultation préliminaire </w:t>
      </w:r>
      <w:r>
        <w:t>organisé</w:t>
      </w:r>
      <w:r w:rsidR="00CB25BB">
        <w:t>e</w:t>
      </w:r>
      <w:r>
        <w:t xml:space="preserve">, dans le courant de l'année 2012, </w:t>
      </w:r>
      <w:r w:rsidR="00CB25BB">
        <w:t xml:space="preserve">par l’IBPT, </w:t>
      </w:r>
      <w:r>
        <w:t xml:space="preserve">à laquelle ont réagi Mobistar et Belgacom. Différentes réunions de travail ont également été organisées avec </w:t>
      </w:r>
      <w:proofErr w:type="spellStart"/>
      <w:r w:rsidR="00CB25BB">
        <w:t>Nethys</w:t>
      </w:r>
      <w:proofErr w:type="spellEnd"/>
      <w:r>
        <w:t xml:space="preserve">, à sa demande, en vue de l'assister. Le 17 septembre 2012, </w:t>
      </w:r>
      <w:r w:rsidR="00CB25BB">
        <w:t>le MEDIENRAT</w:t>
      </w:r>
      <w:r>
        <w:t xml:space="preserve"> a reçu la version modifiée de l’offre de référence de </w:t>
      </w:r>
      <w:proofErr w:type="spellStart"/>
      <w:r w:rsidR="00CB25BB">
        <w:t>Nethys</w:t>
      </w:r>
      <w:proofErr w:type="spellEnd"/>
      <w:r>
        <w:t xml:space="preserve">. Le 17 octobre 2012, </w:t>
      </w:r>
      <w:proofErr w:type="spellStart"/>
      <w:r w:rsidR="00CB25BB">
        <w:t>Nethys</w:t>
      </w:r>
      <w:proofErr w:type="spellEnd"/>
      <w:r w:rsidR="00CB25BB">
        <w:t xml:space="preserve"> </w:t>
      </w:r>
      <w:r>
        <w:t>a remis des annexes supplémentaires qui ont également été prises en considération dans le présent projet de décision.</w:t>
      </w:r>
      <w:r>
        <w:rPr>
          <w:rStyle w:val="Funotenzeichen"/>
        </w:rPr>
        <w:t xml:space="preserve"> </w:t>
      </w:r>
      <w:r>
        <w:rPr>
          <w:rStyle w:val="Funotenzeichen"/>
        </w:rPr>
        <w:footnoteReference w:id="6"/>
      </w:r>
    </w:p>
    <w:p w14:paraId="051DD4FC" w14:textId="10F96738" w:rsidR="00A22389" w:rsidRDefault="00A22389" w:rsidP="00CF7193">
      <w:pPr>
        <w:pStyle w:val="Opmaakprofiel1"/>
      </w:pPr>
      <w:r>
        <w:t xml:space="preserve">Le 10 octobre 2013, </w:t>
      </w:r>
      <w:r w:rsidR="00CB25BB">
        <w:t>le MEDIENRAT</w:t>
      </w:r>
      <w:r>
        <w:t xml:space="preserve"> a reçu, dans le délai prévu par la Décision de la CRC du 3 septembre 2013, une nouvelle offre de référence de </w:t>
      </w:r>
      <w:proofErr w:type="spellStart"/>
      <w:r w:rsidR="00CB25BB">
        <w:t>Nethys</w:t>
      </w:r>
      <w:proofErr w:type="spellEnd"/>
      <w:r>
        <w:t xml:space="preserve">, dans laquelle celle-ci indique se conformer à la décision de septembre 2013. Suite à une vérification </w:t>
      </w:r>
      <w:r w:rsidR="00CB25BB">
        <w:t>du MEDIENRAT</w:t>
      </w:r>
      <w:r>
        <w:t xml:space="preserve">, il s'est toutefois avéré que cette offre de référence adaptée n'était pas conforme à ce qui avait été imposé par la Décision de la CRC du 3 septembre 2013. Les éléments suivants étaient contraires à la décision du 3 septembre 2013 ou n'étaient pas repris dans la proposition d'offre de référence soumise par </w:t>
      </w:r>
      <w:proofErr w:type="spellStart"/>
      <w:r w:rsidR="00CB25BB">
        <w:t>Nethys</w:t>
      </w:r>
      <w:proofErr w:type="spellEnd"/>
      <w:r w:rsidR="00CB25BB">
        <w:t xml:space="preserve"> </w:t>
      </w:r>
      <w:r>
        <w:t>:</w:t>
      </w:r>
    </w:p>
    <w:p w14:paraId="051DD4FD" w14:textId="61189696" w:rsidR="00A22389" w:rsidRDefault="00A22389" w:rsidP="00DF0E14">
      <w:pPr>
        <w:pStyle w:val="Opmaakprofiel2"/>
        <w:numPr>
          <w:ilvl w:val="0"/>
          <w:numId w:val="15"/>
        </w:numPr>
        <w:ind w:left="1843"/>
      </w:pPr>
      <w:r>
        <w:t xml:space="preserve">Le délai d'implémentation (après la réception de la </w:t>
      </w:r>
      <w:r w:rsidR="002C1EAF">
        <w:t>« </w:t>
      </w:r>
      <w:r>
        <w:t>Letter of Intent</w:t>
      </w:r>
      <w:r w:rsidR="002C1EAF">
        <w:t> »</w:t>
      </w:r>
      <w:r>
        <w:t xml:space="preserve">) de six mois n'était pas appliqué ; </w:t>
      </w:r>
    </w:p>
    <w:p w14:paraId="051DD4FE" w14:textId="60089060" w:rsidR="00A22389" w:rsidRDefault="00CB25BB" w:rsidP="00DF0E14">
      <w:pPr>
        <w:pStyle w:val="Opmaakprofiel2"/>
        <w:numPr>
          <w:ilvl w:val="0"/>
          <w:numId w:val="15"/>
        </w:numPr>
        <w:ind w:left="1843"/>
      </w:pPr>
      <w:proofErr w:type="spellStart"/>
      <w:r>
        <w:t>Nethys</w:t>
      </w:r>
      <w:proofErr w:type="spellEnd"/>
      <w:r>
        <w:t xml:space="preserve"> </w:t>
      </w:r>
      <w:r w:rsidR="00A22389">
        <w:t>associait des conditions nécessaires à la transposition correcte de l'obligation concernant le système CAS ;</w:t>
      </w:r>
    </w:p>
    <w:p w14:paraId="051DD4FF" w14:textId="77777777" w:rsidR="00A22389" w:rsidRDefault="00A22389" w:rsidP="00DF0E14">
      <w:pPr>
        <w:pStyle w:val="Opmaakprofiel2"/>
        <w:numPr>
          <w:ilvl w:val="0"/>
          <w:numId w:val="15"/>
        </w:numPr>
        <w:ind w:left="1843"/>
      </w:pPr>
      <w:r>
        <w:lastRenderedPageBreak/>
        <w:t>Il n'était pas prévu de délai de notification de 2 mois pour l'ajout d'un canal numérique ;</w:t>
      </w:r>
    </w:p>
    <w:p w14:paraId="051DD500" w14:textId="77777777" w:rsidR="00A22389" w:rsidRDefault="00A22389" w:rsidP="00DF0E14">
      <w:pPr>
        <w:pStyle w:val="Opmaakprofiel2"/>
        <w:numPr>
          <w:ilvl w:val="0"/>
          <w:numId w:val="15"/>
        </w:numPr>
        <w:ind w:left="1843"/>
      </w:pPr>
      <w:r>
        <w:t>L'offre de référence ne comportait pas de « conditions générales » ;</w:t>
      </w:r>
    </w:p>
    <w:p w14:paraId="051DD501" w14:textId="77777777" w:rsidR="00A22389" w:rsidRDefault="00A22389" w:rsidP="00DF0E14">
      <w:pPr>
        <w:pStyle w:val="Opmaakprofiel2"/>
        <w:numPr>
          <w:ilvl w:val="0"/>
          <w:numId w:val="15"/>
        </w:numPr>
        <w:ind w:left="1843"/>
      </w:pPr>
      <w:r>
        <w:t>Une installation NIU</w:t>
      </w:r>
      <w:r>
        <w:rPr>
          <w:vertAlign w:val="superscript"/>
        </w:rPr>
        <w:footnoteReference w:id="7"/>
      </w:r>
      <w:r>
        <w:t xml:space="preserve"> était prévue dans tous les cas ;</w:t>
      </w:r>
    </w:p>
    <w:p w14:paraId="051DD502" w14:textId="77777777" w:rsidR="00A22389" w:rsidRDefault="00A22389" w:rsidP="00DF0E14">
      <w:pPr>
        <w:pStyle w:val="Opmaakprofiel2"/>
        <w:numPr>
          <w:ilvl w:val="0"/>
          <w:numId w:val="15"/>
        </w:numPr>
        <w:ind w:left="1843"/>
      </w:pPr>
      <w:r>
        <w:t>Le mécanisme de compensation</w:t>
      </w:r>
      <w:r>
        <w:rPr>
          <w:vertAlign w:val="superscript"/>
        </w:rPr>
        <w:footnoteReference w:id="8"/>
      </w:r>
      <w:r>
        <w:t xml:space="preserve"> et le système de prévision</w:t>
      </w:r>
      <w:r>
        <w:rPr>
          <w:vertAlign w:val="superscript"/>
        </w:rPr>
        <w:footnoteReference w:id="9"/>
      </w:r>
      <w:r>
        <w:t xml:space="preserve"> n'étaient pas correctement adaptés ;</w:t>
      </w:r>
    </w:p>
    <w:p w14:paraId="051DD503" w14:textId="77777777" w:rsidR="00A22389" w:rsidRDefault="00A22389" w:rsidP="00DF0E14">
      <w:pPr>
        <w:pStyle w:val="Opmaakprofiel2"/>
        <w:numPr>
          <w:ilvl w:val="0"/>
          <w:numId w:val="15"/>
        </w:numPr>
        <w:ind w:left="1843"/>
        <w:rPr>
          <w:rFonts w:ascii="Times New Roman" w:hAnsi="Times New Roman"/>
          <w:sz w:val="24"/>
          <w:szCs w:val="24"/>
        </w:rPr>
      </w:pPr>
      <w:r>
        <w:t>Une facture impayée restait une raison de refus de migration.</w:t>
      </w:r>
      <w:r>
        <w:rPr>
          <w:rFonts w:ascii="Times New Roman" w:hAnsi="Times New Roman"/>
          <w:sz w:val="24"/>
        </w:rPr>
        <w:t xml:space="preserve"> </w:t>
      </w:r>
    </w:p>
    <w:p w14:paraId="051DD504" w14:textId="78382FAF" w:rsidR="003438F4" w:rsidRPr="00401F14" w:rsidRDefault="00CB25BB" w:rsidP="00CF7193">
      <w:pPr>
        <w:pStyle w:val="Opmaakprofiel1"/>
      </w:pPr>
      <w:proofErr w:type="spellStart"/>
      <w:r>
        <w:t>Nethys</w:t>
      </w:r>
      <w:proofErr w:type="spellEnd"/>
      <w:r>
        <w:t xml:space="preserve"> </w:t>
      </w:r>
      <w:r w:rsidR="002C1EAF" w:rsidRPr="00401F14">
        <w:t xml:space="preserve">n’a pas respecté le délai pour faire des adaptations. </w:t>
      </w:r>
      <w:r w:rsidR="003438F4" w:rsidRPr="00401F14">
        <w:t>Comme les divergences revenaient au non-res</w:t>
      </w:r>
      <w:r>
        <w:t>pect d'une décision de la CRC, le MEDIENRAT</w:t>
      </w:r>
      <w:r w:rsidR="003438F4" w:rsidRPr="00401F14">
        <w:t xml:space="preserve"> a </w:t>
      </w:r>
      <w:r w:rsidR="002C1EAF" w:rsidRPr="00401F14">
        <w:t xml:space="preserve">rédigé une lettre avec des griefs </w:t>
      </w:r>
      <w:r w:rsidR="003438F4" w:rsidRPr="00401F14">
        <w:t xml:space="preserve">le </w:t>
      </w:r>
      <w:r>
        <w:t>7</w:t>
      </w:r>
      <w:r w:rsidR="003438F4" w:rsidRPr="00401F14">
        <w:t xml:space="preserve"> mars 2014. Suite à cette </w:t>
      </w:r>
      <w:r w:rsidR="002C1EAF" w:rsidRPr="00401F14">
        <w:t>lettre</w:t>
      </w:r>
      <w:r w:rsidR="003438F4" w:rsidRPr="00401F14">
        <w:t xml:space="preserve">, </w:t>
      </w:r>
      <w:proofErr w:type="spellStart"/>
      <w:r>
        <w:t>Nethys</w:t>
      </w:r>
      <w:proofErr w:type="spellEnd"/>
      <w:r>
        <w:t xml:space="preserve"> </w:t>
      </w:r>
      <w:r w:rsidR="003438F4" w:rsidRPr="00401F14">
        <w:t xml:space="preserve">a </w:t>
      </w:r>
      <w:r w:rsidR="002C1EAF" w:rsidRPr="00401F14">
        <w:t xml:space="preserve">finalement </w:t>
      </w:r>
      <w:r w:rsidR="003438F4" w:rsidRPr="00401F14">
        <w:t xml:space="preserve">adapté son offre de référence à la Décision de la CRC du 3 septembre 2013 et, le </w:t>
      </w:r>
      <w:r>
        <w:t>4 avril</w:t>
      </w:r>
      <w:r w:rsidR="003438F4" w:rsidRPr="00401F14">
        <w:t xml:space="preserve"> 2014, </w:t>
      </w:r>
      <w:proofErr w:type="spellStart"/>
      <w:r>
        <w:t>Nethys</w:t>
      </w:r>
      <w:proofErr w:type="spellEnd"/>
      <w:r>
        <w:t xml:space="preserve"> </w:t>
      </w:r>
      <w:r w:rsidR="003438F4" w:rsidRPr="00401F14">
        <w:t xml:space="preserve">a transmis une nouvelle version adaptée de son offre de référence </w:t>
      </w:r>
      <w:r>
        <w:t>au MEDIENRAT</w:t>
      </w:r>
      <w:r w:rsidR="003438F4" w:rsidRPr="00401F14">
        <w:t xml:space="preserve">. Une vérification en détail a toutefois révélé qu'il manquait encore des éléments, principalement de nature technique, qui devaient être complétés. Comme </w:t>
      </w:r>
      <w:proofErr w:type="spellStart"/>
      <w:r>
        <w:t>Nethys</w:t>
      </w:r>
      <w:proofErr w:type="spellEnd"/>
      <w:r>
        <w:t xml:space="preserve"> </w:t>
      </w:r>
      <w:r w:rsidR="003438F4" w:rsidRPr="00401F14">
        <w:t xml:space="preserve">utilisait le trajet d'implémentation pour acquérir de l'expérience avec ces éléments techniques, l'on a choisi de donner à </w:t>
      </w:r>
      <w:proofErr w:type="spellStart"/>
      <w:r>
        <w:t>Nethys</w:t>
      </w:r>
      <w:proofErr w:type="spellEnd"/>
      <w:r>
        <w:t xml:space="preserve"> </w:t>
      </w:r>
      <w:r w:rsidR="003438F4" w:rsidRPr="00401F14">
        <w:t>le temps et l'espace nécessaires pour compléter ces éléments, après la période d'implémentation.</w:t>
      </w:r>
    </w:p>
    <w:p w14:paraId="051DD505" w14:textId="14328E31" w:rsidR="00974FCE" w:rsidRDefault="00974FCE" w:rsidP="00CF7193">
      <w:pPr>
        <w:pStyle w:val="Opmaakprofiel1"/>
      </w:pPr>
      <w:r>
        <w:t xml:space="preserve">Comme mentionné plus haut, ces éléments supplémentaires ont été complétés par </w:t>
      </w:r>
      <w:proofErr w:type="spellStart"/>
      <w:r w:rsidR="00CB25BB">
        <w:t>Nethys</w:t>
      </w:r>
      <w:proofErr w:type="spellEnd"/>
      <w:r w:rsidR="00CB25BB">
        <w:t xml:space="preserve"> </w:t>
      </w:r>
      <w:r>
        <w:t>le 1</w:t>
      </w:r>
      <w:r w:rsidR="00CB25BB">
        <w:t>3</w:t>
      </w:r>
      <w:r>
        <w:t xml:space="preserve"> février 2015, avec la remise de la dernière version de l'offre de référence </w:t>
      </w:r>
      <w:r w:rsidR="00CB25BB">
        <w:t>au MEDIENRAT</w:t>
      </w:r>
      <w:r>
        <w:t>.</w:t>
      </w:r>
    </w:p>
    <w:p w14:paraId="051DD506" w14:textId="77777777" w:rsidR="00572AB0" w:rsidRPr="00291CE2" w:rsidRDefault="00572AB0" w:rsidP="00E1047F">
      <w:pPr>
        <w:pStyle w:val="berschrift2"/>
      </w:pPr>
      <w:bookmarkStart w:id="9" w:name="_Toc422491250"/>
      <w:bookmarkStart w:id="10" w:name="_Toc430001803"/>
      <w:r>
        <w:t>Consultation nationale</w:t>
      </w:r>
      <w:bookmarkEnd w:id="9"/>
      <w:bookmarkEnd w:id="10"/>
    </w:p>
    <w:p w14:paraId="051DD507" w14:textId="77777777" w:rsidR="00572AB0" w:rsidRPr="00291CE2" w:rsidRDefault="00572AB0" w:rsidP="002D7468">
      <w:pPr>
        <w:pStyle w:val="berschrift3"/>
      </w:pPr>
      <w:bookmarkStart w:id="11" w:name="_Toc300814011"/>
      <w:r>
        <w:t>Base légale</w:t>
      </w:r>
      <w:bookmarkEnd w:id="11"/>
    </w:p>
    <w:p w14:paraId="051DD508" w14:textId="6273FD80" w:rsidR="00572AB0" w:rsidRPr="00291CE2" w:rsidRDefault="00572AB0" w:rsidP="00CF7193">
      <w:pPr>
        <w:pStyle w:val="Opmaakprofiel1"/>
      </w:pPr>
      <w:r>
        <w:t xml:space="preserve">La consultation nationale est organisée conformément à l’article </w:t>
      </w:r>
      <w:r w:rsidR="00D12636">
        <w:t>103, § 1</w:t>
      </w:r>
      <w:r w:rsidR="00D12636" w:rsidRPr="00D12636">
        <w:rPr>
          <w:vertAlign w:val="superscript"/>
        </w:rPr>
        <w:t>er</w:t>
      </w:r>
      <w:r w:rsidR="00D12636">
        <w:t xml:space="preserve">, du décret du 27 juin 2005 </w:t>
      </w:r>
      <w:r>
        <w:t xml:space="preserve">: </w:t>
      </w:r>
    </w:p>
    <w:p w14:paraId="051DD50D" w14:textId="50BADF99" w:rsidR="00572AB0" w:rsidRPr="00D12636" w:rsidRDefault="00D12636" w:rsidP="00D12636">
      <w:pPr>
        <w:keepLines/>
        <w:spacing w:after="360" w:line="276" w:lineRule="auto"/>
        <w:ind w:left="1416"/>
        <w:rPr>
          <w:rFonts w:cstheme="minorBidi"/>
          <w:i/>
          <w:szCs w:val="24"/>
          <w:lang w:val="de-DE"/>
        </w:rPr>
      </w:pPr>
      <w:r w:rsidRPr="00A37730">
        <w:rPr>
          <w:rFonts w:asciiTheme="majorHAnsi" w:hAnsiTheme="majorHAnsi" w:cstheme="minorBidi"/>
          <w:i/>
          <w:lang w:val="de-DE"/>
        </w:rPr>
        <w:lastRenderedPageBreak/>
        <w:t>« </w:t>
      </w:r>
      <w:r w:rsidRPr="00A37730">
        <w:rPr>
          <w:rFonts w:asciiTheme="majorHAnsi" w:hAnsiTheme="majorHAnsi" w:cs="Arial"/>
          <w:i/>
          <w:sz w:val="20"/>
          <w:szCs w:val="20"/>
          <w:lang w:val="de-DE" w:eastAsia="de-DE" w:bidi="ar-SA"/>
        </w:rPr>
        <w:t>§1 – Abgesehen von den Fällen gemäß §</w:t>
      </w:r>
      <w:r>
        <w:rPr>
          <w:rFonts w:asciiTheme="majorHAnsi" w:hAnsiTheme="majorHAnsi" w:cs="Arial"/>
          <w:i/>
          <w:sz w:val="20"/>
          <w:szCs w:val="20"/>
          <w:lang w:val="de-DE" w:eastAsia="de-DE" w:bidi="ar-SA"/>
        </w:rPr>
        <w:t xml:space="preserve"> </w:t>
      </w:r>
      <w:r w:rsidRPr="00A37730">
        <w:rPr>
          <w:rFonts w:asciiTheme="majorHAnsi" w:hAnsiTheme="majorHAnsi" w:cs="Arial"/>
          <w:i/>
          <w:sz w:val="20"/>
          <w:szCs w:val="20"/>
          <w:lang w:val="de-DE" w:eastAsia="de-DE" w:bidi="ar-SA"/>
        </w:rPr>
        <w:t>2 Absatz 5 oder Artikel 100 gibt die Beschlusskammer interessierten Kreisen innerhalb einer angemessenen Frist Gelegenheit zur Stellungnahme zum Entwurf von Maßnahmen, die sie gemäß diesem Dekret zu treffen gedenkt oder mit denen sie beabsichtigt, Einschränkungen gemäß Artikel 49 §</w:t>
      </w:r>
      <w:r>
        <w:rPr>
          <w:rFonts w:asciiTheme="majorHAnsi" w:hAnsiTheme="majorHAnsi" w:cs="Arial"/>
          <w:i/>
          <w:sz w:val="20"/>
          <w:szCs w:val="20"/>
          <w:lang w:val="de-DE" w:eastAsia="de-DE" w:bidi="ar-SA"/>
        </w:rPr>
        <w:t xml:space="preserve"> </w:t>
      </w:r>
      <w:r w:rsidRPr="00A37730">
        <w:rPr>
          <w:rFonts w:asciiTheme="majorHAnsi" w:hAnsiTheme="majorHAnsi" w:cs="Arial"/>
          <w:i/>
          <w:sz w:val="20"/>
          <w:szCs w:val="20"/>
          <w:lang w:val="de-DE" w:eastAsia="de-DE" w:bidi="ar-SA"/>
        </w:rPr>
        <w:t>4 und §</w:t>
      </w:r>
      <w:r>
        <w:rPr>
          <w:rFonts w:asciiTheme="majorHAnsi" w:hAnsiTheme="majorHAnsi" w:cs="Arial"/>
          <w:i/>
          <w:sz w:val="20"/>
          <w:szCs w:val="20"/>
          <w:lang w:val="de-DE" w:eastAsia="de-DE" w:bidi="ar-SA"/>
        </w:rPr>
        <w:t xml:space="preserve"> </w:t>
      </w:r>
      <w:r w:rsidRPr="00A37730">
        <w:rPr>
          <w:rFonts w:asciiTheme="majorHAnsi" w:hAnsiTheme="majorHAnsi" w:cs="Arial"/>
          <w:i/>
          <w:sz w:val="20"/>
          <w:szCs w:val="20"/>
          <w:lang w:val="de-DE" w:eastAsia="de-DE" w:bidi="ar-SA"/>
        </w:rPr>
        <w:t xml:space="preserve">5 aufzuerlegen, die beträchtliche Auswirkungen auf den betreffenden Markt haben werden. Die Anhörungsverfahren sowie deren Ergebnisse werden von der Beschlusskammer veröffentlicht. Hiervon unberührt ist die Wahrung von Betriebs- oder Geschäftsgeheimnissen der Beteiligten gemäß Artikel 108. Die Beschlusskammer richtet zu diesem Zweck eine einheitliche Informationsstelle ein, bei der eine Liste aller laufenden Anhörungen geführt wird. </w:t>
      </w:r>
      <w:r w:rsidRPr="00A37730">
        <w:rPr>
          <w:rFonts w:asciiTheme="majorHAnsi" w:hAnsiTheme="majorHAnsi" w:cstheme="minorBidi"/>
          <w:i/>
          <w:lang w:val="de-DE"/>
        </w:rPr>
        <w:t>»</w:t>
      </w:r>
    </w:p>
    <w:p w14:paraId="051DD50E" w14:textId="77777777" w:rsidR="00572AB0" w:rsidRPr="00291CE2" w:rsidRDefault="003E273E" w:rsidP="002D7468">
      <w:pPr>
        <w:pStyle w:val="berschrift3"/>
      </w:pPr>
      <w:r>
        <w:t>Déroulement de la consultation</w:t>
      </w:r>
    </w:p>
    <w:p w14:paraId="051DD50F" w14:textId="700AE328" w:rsidR="00124E11" w:rsidRDefault="003E273E" w:rsidP="00A15296">
      <w:pPr>
        <w:pStyle w:val="Opmaakprofiel1"/>
      </w:pPr>
      <w:r>
        <w:t xml:space="preserve">Le [XXX], </w:t>
      </w:r>
      <w:r w:rsidR="00D12636">
        <w:t>le MEDIENRAT</w:t>
      </w:r>
      <w:r>
        <w:t xml:space="preserve"> a lancé une consultation nationale concernant le présent projet de décision. Le [XXX], </w:t>
      </w:r>
      <w:r w:rsidR="00D12636">
        <w:t>le MEDIENRAT</w:t>
      </w:r>
      <w:r>
        <w:t xml:space="preserve"> a reçu les réactions de [XXX]. </w:t>
      </w:r>
    </w:p>
    <w:p w14:paraId="051DD510" w14:textId="77777777" w:rsidR="00572AB0" w:rsidRPr="00291CE2" w:rsidRDefault="00572AB0" w:rsidP="003D7734">
      <w:pPr>
        <w:pStyle w:val="berschrift2"/>
      </w:pPr>
      <w:bookmarkStart w:id="12" w:name="_Toc292299389"/>
      <w:bookmarkStart w:id="13" w:name="_Toc300814018"/>
      <w:bookmarkStart w:id="14" w:name="_Toc195950113"/>
      <w:bookmarkStart w:id="15" w:name="_Toc422491251"/>
      <w:bookmarkStart w:id="16" w:name="_Toc300814015"/>
      <w:bookmarkStart w:id="17" w:name="_Toc430001804"/>
      <w:r>
        <w:t>La consultation des</w:t>
      </w:r>
      <w:bookmarkEnd w:id="12"/>
      <w:bookmarkEnd w:id="13"/>
      <w:r>
        <w:t xml:space="preserve"> régulateurs des médias</w:t>
      </w:r>
      <w:bookmarkEnd w:id="14"/>
      <w:bookmarkEnd w:id="15"/>
      <w:bookmarkEnd w:id="17"/>
    </w:p>
    <w:p w14:paraId="051DD511" w14:textId="77777777" w:rsidR="00572AB0" w:rsidRPr="00291CE2" w:rsidRDefault="00572AB0" w:rsidP="002D7468">
      <w:pPr>
        <w:pStyle w:val="berschrift3"/>
      </w:pPr>
      <w:bookmarkStart w:id="18" w:name="_Toc293394333"/>
      <w:bookmarkStart w:id="19" w:name="_Toc300814019"/>
      <w:bookmarkStart w:id="20" w:name="_Toc195950114"/>
      <w:r>
        <w:t>Base légale</w:t>
      </w:r>
      <w:bookmarkEnd w:id="18"/>
      <w:bookmarkEnd w:id="19"/>
      <w:bookmarkEnd w:id="20"/>
    </w:p>
    <w:p w14:paraId="051DD512" w14:textId="77777777" w:rsidR="00572AB0" w:rsidRPr="00291CE2" w:rsidRDefault="00572AB0" w:rsidP="00CF7193">
      <w:pPr>
        <w:pStyle w:val="Opmaakprofiel1"/>
      </w:pPr>
      <w:r>
        <w:t>Se fondant sur la jurisprudence de la Cour constitutionnelle, l’État fédéral, la Communauté flamande, la Communauté française et la Communauté germanophone ont conclu l’accord de coopération du 17 novembre 2006 relatif à la consultation mutuelle lors de l’élaboration d’une législation en matière de réseaux de communications électroniques, lors de l’échange d’informations et lors de l’exercice des compétences en matière de réseaux de communications électroniques par les autorités de régulation en charge des télécommunications ou de la radiodiffusion et la télévision</w:t>
      </w:r>
      <w:r>
        <w:rPr>
          <w:rStyle w:val="Funotenzeichen"/>
        </w:rPr>
        <w:footnoteReference w:id="10"/>
      </w:r>
      <w:r>
        <w:t>.</w:t>
      </w:r>
    </w:p>
    <w:p w14:paraId="051DD513" w14:textId="77777777" w:rsidR="00572AB0" w:rsidRPr="00291CE2" w:rsidRDefault="00572AB0" w:rsidP="00CF7193">
      <w:pPr>
        <w:pStyle w:val="Opmaakprofiel1"/>
      </w:pPr>
      <w:r>
        <w:t xml:space="preserve">L’article 3 de l’accord de coopération du 17 novembre 2006 mentionne les projets de décision qui doivent être transmis aux autres régulateurs : </w:t>
      </w:r>
    </w:p>
    <w:p w14:paraId="051DD514" w14:textId="77777777" w:rsidR="00572AB0" w:rsidRPr="00291CE2" w:rsidRDefault="00572AB0" w:rsidP="00572AB0">
      <w:pPr>
        <w:keepLines/>
        <w:spacing w:after="360" w:line="276" w:lineRule="auto"/>
        <w:ind w:left="1416"/>
        <w:rPr>
          <w:rFonts w:cstheme="minorBidi"/>
          <w:i/>
          <w:szCs w:val="24"/>
        </w:rPr>
      </w:pPr>
      <w:r>
        <w:rPr>
          <w:rFonts w:cstheme="minorBidi"/>
          <w:i/>
        </w:rPr>
        <w:t xml:space="preserve">« Art. 3. Chaque projet de décision d'une autorité de régulation relatif aux réseaux de communications électroniques est transmis par cette autorité aux autres autorités de régulation énumérées à l'article 2, 2°, du présent accord de coopération. </w:t>
      </w:r>
    </w:p>
    <w:p w14:paraId="051DD515" w14:textId="77777777" w:rsidR="00572AB0" w:rsidRPr="00291CE2" w:rsidRDefault="00572AB0" w:rsidP="00572AB0">
      <w:pPr>
        <w:keepLines/>
        <w:spacing w:after="360" w:line="276" w:lineRule="auto"/>
        <w:ind w:left="1416"/>
        <w:rPr>
          <w:rFonts w:cstheme="minorBidi"/>
          <w:i/>
          <w:szCs w:val="24"/>
        </w:rPr>
      </w:pPr>
      <w:r>
        <w:rPr>
          <w:rFonts w:cstheme="minorBidi"/>
          <w:i/>
        </w:rPr>
        <w:lastRenderedPageBreak/>
        <w:t xml:space="preserve">Les autorités de régulation consultées font part de leurs remarques à l'autorité de régulation qui a transmis le projet de décision dans les quatorze jours civils. Dans ce délai, chacune des autorités de régulation consultées peut demander que la Conférence des Régulateurs du secteur des Communications électroniques (ci-après dénommée la CRC) soit saisie du projet de décision. Cette demande d'envoi immédiat à la CRC est motivée. </w:t>
      </w:r>
    </w:p>
    <w:p w14:paraId="051DD516" w14:textId="77777777" w:rsidR="00572AB0" w:rsidRPr="00291CE2" w:rsidRDefault="00572AB0" w:rsidP="00572AB0">
      <w:pPr>
        <w:keepLines/>
        <w:spacing w:after="360" w:line="276" w:lineRule="auto"/>
        <w:ind w:left="1416"/>
        <w:rPr>
          <w:rFonts w:cstheme="minorBidi"/>
          <w:i/>
          <w:szCs w:val="24"/>
        </w:rPr>
      </w:pPr>
      <w:r>
        <w:rPr>
          <w:rFonts w:cstheme="minorBidi"/>
          <w:i/>
        </w:rPr>
        <w:t>L’autorité de régulation concernée prend en considération les remarques que lui ont fournies les autres autorités de régulation et leur envoie le projet de décision modifié. Ces dernières disposent, après réception du projet de décision modifié, d’un délai de 7 jours civils pour demander que la CRC soit saisie du projet de décision modifié. »</w:t>
      </w:r>
    </w:p>
    <w:p w14:paraId="051DD517" w14:textId="77777777" w:rsidR="00572AB0" w:rsidRPr="00291CE2" w:rsidRDefault="00572AB0" w:rsidP="002D7468">
      <w:pPr>
        <w:pStyle w:val="berschrift3"/>
      </w:pPr>
      <w:bookmarkStart w:id="21" w:name="_Toc195950115"/>
      <w:r>
        <w:t>Résultats de la consultation des régulateurs des médias</w:t>
      </w:r>
      <w:bookmarkEnd w:id="21"/>
    </w:p>
    <w:bookmarkEnd w:id="16"/>
    <w:p w14:paraId="051DD518" w14:textId="77777777" w:rsidR="00572AB0" w:rsidRPr="00291CE2" w:rsidRDefault="00572AB0" w:rsidP="00CF7193">
      <w:pPr>
        <w:pStyle w:val="Opmaakprofiel1"/>
      </w:pPr>
      <w:r>
        <w:t>[Sera complété ultérieurement]</w:t>
      </w:r>
    </w:p>
    <w:p w14:paraId="051DD519" w14:textId="77777777" w:rsidR="00572AB0" w:rsidRPr="00291CE2" w:rsidRDefault="00572AB0" w:rsidP="00E1047F">
      <w:pPr>
        <w:pStyle w:val="berschrift2"/>
      </w:pPr>
      <w:bookmarkStart w:id="22" w:name="_Toc422491252"/>
      <w:bookmarkStart w:id="23" w:name="_Toc430001805"/>
      <w:r>
        <w:t>La consultation européenne</w:t>
      </w:r>
      <w:bookmarkEnd w:id="22"/>
      <w:bookmarkEnd w:id="23"/>
      <w:r>
        <w:t xml:space="preserve"> </w:t>
      </w:r>
    </w:p>
    <w:p w14:paraId="051DD51A" w14:textId="77777777" w:rsidR="00572AB0" w:rsidRPr="00291CE2" w:rsidRDefault="00572AB0" w:rsidP="002D7468">
      <w:pPr>
        <w:pStyle w:val="berschrift3"/>
      </w:pPr>
      <w:r>
        <w:t>Base légale</w:t>
      </w:r>
    </w:p>
    <w:p w14:paraId="051DD51B" w14:textId="1E4A5896" w:rsidR="00572AB0" w:rsidRPr="00291CE2" w:rsidRDefault="003E273E" w:rsidP="00CF7193">
      <w:pPr>
        <w:pStyle w:val="Opmaakprofiel1"/>
      </w:pPr>
      <w:r>
        <w:t xml:space="preserve">L'article </w:t>
      </w:r>
      <w:r w:rsidR="00D12636">
        <w:t>103, § 2, du décret du 27 juin 2005</w:t>
      </w:r>
      <w:r>
        <w:t xml:space="preserve"> stipule ce qui suit en ce qui concerne la consultation de la Commission européenne :  </w:t>
      </w:r>
    </w:p>
    <w:p w14:paraId="459B5B93" w14:textId="77777777" w:rsidR="00D12636" w:rsidRPr="00872513" w:rsidRDefault="00D12636" w:rsidP="00D12636">
      <w:pPr>
        <w:ind w:left="1080"/>
        <w:rPr>
          <w:rFonts w:asciiTheme="majorHAnsi" w:hAnsiTheme="majorHAnsi" w:cs="Arial"/>
          <w:i/>
          <w:sz w:val="20"/>
          <w:szCs w:val="20"/>
          <w:lang w:val="de-DE" w:eastAsia="de-DE" w:bidi="ar-SA"/>
        </w:rPr>
      </w:pPr>
      <w:r w:rsidRPr="00872513">
        <w:rPr>
          <w:rFonts w:asciiTheme="majorHAnsi" w:hAnsiTheme="majorHAnsi"/>
          <w:i/>
          <w:lang w:val="de-DE" w:eastAsia="de-DE" w:bidi="ar-SA"/>
        </w:rPr>
        <w:t xml:space="preserve">§2 – Darüber hinaus teilt die Beschlusskammer der Europäischen Kommission, dem GEREK sowie den nationalen Regulierungsbehörden der anderen Mitgliedstaaten den Entwurf von gemäß diesem Dekret getroffenen </w:t>
      </w:r>
      <w:r w:rsidRPr="00872513">
        <w:rPr>
          <w:rFonts w:asciiTheme="majorHAnsi" w:hAnsiTheme="majorHAnsi" w:cs="Arial"/>
          <w:i/>
          <w:sz w:val="20"/>
          <w:szCs w:val="20"/>
          <w:lang w:val="de-DE" w:eastAsia="de-DE" w:bidi="ar-SA"/>
        </w:rPr>
        <w:t xml:space="preserve">Maßnahmen mit, insofern Letztere unter Artikel 65, 66, 73 oder 74 fallen und Auswirkungen auf den Handel zwischen den Mitgliedstaaten hätten und in Empfehlungen oder Leitlinien der Europäischen Kommission nicht etwas anderes bestimmt ist. </w:t>
      </w:r>
    </w:p>
    <w:p w14:paraId="7414F569" w14:textId="2F4EA7E9" w:rsidR="00D12636" w:rsidRPr="00872513" w:rsidRDefault="00D12636" w:rsidP="00D12636">
      <w:pPr>
        <w:rPr>
          <w:rFonts w:asciiTheme="majorHAnsi" w:hAnsiTheme="majorHAnsi" w:cs="Arial"/>
          <w:i/>
          <w:sz w:val="20"/>
          <w:szCs w:val="20"/>
          <w:lang w:val="de-DE" w:eastAsia="de-DE" w:bidi="ar-SA"/>
        </w:rPr>
      </w:pPr>
      <w:r>
        <w:rPr>
          <w:rFonts w:asciiTheme="majorHAnsi" w:hAnsiTheme="majorHAnsi" w:cs="Arial"/>
          <w:i/>
          <w:sz w:val="20"/>
          <w:szCs w:val="20"/>
          <w:lang w:val="de-DE" w:eastAsia="de-DE" w:bidi="ar-SA"/>
        </w:rPr>
        <w:tab/>
      </w:r>
      <w:r>
        <w:rPr>
          <w:rFonts w:asciiTheme="majorHAnsi" w:hAnsiTheme="majorHAnsi" w:cs="Arial"/>
          <w:i/>
          <w:sz w:val="20"/>
          <w:szCs w:val="20"/>
          <w:lang w:val="de-DE" w:eastAsia="de-DE" w:bidi="ar-SA"/>
        </w:rPr>
        <w:tab/>
      </w:r>
    </w:p>
    <w:p w14:paraId="6317A345" w14:textId="77777777" w:rsidR="00D12636" w:rsidRPr="00872513" w:rsidRDefault="00D12636" w:rsidP="00D12636">
      <w:pPr>
        <w:ind w:left="1080"/>
        <w:rPr>
          <w:rFonts w:asciiTheme="majorHAnsi" w:hAnsiTheme="majorHAnsi" w:cs="Arial"/>
          <w:i/>
          <w:sz w:val="20"/>
          <w:szCs w:val="20"/>
          <w:lang w:val="de-DE" w:eastAsia="de-DE" w:bidi="ar-SA"/>
        </w:rPr>
      </w:pPr>
      <w:r w:rsidRPr="00872513">
        <w:rPr>
          <w:rFonts w:asciiTheme="majorHAnsi" w:hAnsiTheme="majorHAnsi" w:cs="Arial"/>
          <w:i/>
          <w:sz w:val="20"/>
          <w:szCs w:val="20"/>
          <w:lang w:val="de-DE" w:eastAsia="de-DE" w:bidi="ar-SA"/>
        </w:rPr>
        <w:t xml:space="preserve">Die Beschlusskammer hat den Stellungnahmen der Europäischen Kommission, des GEREK und der Regulierungsbehörden der anderen Mitgliedstaaten, die innerhalb einer bestimmten Frist abgegeben werden, weitgehend Rechnung zu tragen. Den sich daraus ergebenden Entwurf übermittelt sie der Europäischen Kommission. </w:t>
      </w:r>
    </w:p>
    <w:p w14:paraId="1CDF7E16" w14:textId="77777777" w:rsidR="00D12636" w:rsidRPr="00872513" w:rsidRDefault="00D12636" w:rsidP="00D12636">
      <w:pPr>
        <w:rPr>
          <w:rFonts w:asciiTheme="majorHAnsi" w:hAnsiTheme="majorHAnsi" w:cs="Arial"/>
          <w:i/>
          <w:sz w:val="20"/>
          <w:szCs w:val="20"/>
          <w:lang w:val="de-DE" w:eastAsia="de-DE" w:bidi="ar-SA"/>
        </w:rPr>
      </w:pPr>
    </w:p>
    <w:p w14:paraId="44F4DAAC" w14:textId="77777777" w:rsidR="00D12636" w:rsidRPr="00872513" w:rsidRDefault="00D12636" w:rsidP="00D12636">
      <w:pPr>
        <w:ind w:left="1080"/>
        <w:rPr>
          <w:rFonts w:asciiTheme="majorHAnsi" w:hAnsiTheme="majorHAnsi" w:cs="Arial"/>
          <w:i/>
          <w:sz w:val="20"/>
          <w:szCs w:val="20"/>
          <w:lang w:val="de-DE" w:eastAsia="de-DE" w:bidi="ar-SA"/>
        </w:rPr>
      </w:pPr>
      <w:r w:rsidRPr="00872513">
        <w:rPr>
          <w:rFonts w:asciiTheme="majorHAnsi" w:hAnsiTheme="majorHAnsi" w:cs="Arial"/>
          <w:i/>
          <w:sz w:val="20"/>
          <w:szCs w:val="20"/>
          <w:lang w:val="de-DE" w:eastAsia="de-DE" w:bidi="ar-SA"/>
        </w:rPr>
        <w:t xml:space="preserve">Beinhaltet ein Entwurf die Festlegung eines relevanten Marktes, der sich von jenen unterscheidet, die in der Empfehlung in Bezug auf relevante Produkt- und Dienstmärkte, die die Europäische Kommission gemäß Artikel 15 Absatz 1 der Richtlinie 2002/21/EG des Europäischen Parlaments und des Rates vom 7. März 2002 über einen gemeinsamen Rechtsrahmen für elektronische Kommunikationsnetze und -dienste (Rahmenrichtlinie) veröffentlicht, in ihrer jeweils geltenden Fassung definiert sind, oder die Festlegung, inwieweit ein oder mehrere Unternehmen auf diesem Markt über beträchtliche Marktmacht verfügen, wobei die Entscheidung Auswirkungen auf den Handel zwischen den Mitgliedstaaten hätte, und erklärt die Europäische Kommission innerhalb der in Absatz 1 Satz 2 genannten Frist, der Entwurf würde ein Hemmnis für den Binnenmarkt schaffen, oder sie habe ernsthafte Zweifel an der Vereinbarkeit mit dem Unionsrecht und insbesondere den Zielen des Artikels 8 der Rahmenrichtlinie, schiebt die Beschlusskammer den Beschluss über den Maßnahmenentwurf um weitere zwei Monate auf. Beschließt die Europäische Kommission innerhalb dieses Zeitraums, die Beschlusskammer aufzufordern, den Entwurf zurückzuziehen, so ist die Beschlusskammer an diesen Beschluss gebunden. Will die Beschlusskammer den Änderungsvorschlägen der Europäischen Kommission folgen, ändert sie den Entwurf im Einklang mit der Entscheidung der Europäischen Kommission innerhalb von sechs Monaten ab </w:t>
      </w:r>
      <w:r w:rsidRPr="00872513">
        <w:rPr>
          <w:rFonts w:asciiTheme="majorHAnsi" w:hAnsiTheme="majorHAnsi" w:cs="Arial"/>
          <w:i/>
          <w:sz w:val="20"/>
          <w:szCs w:val="20"/>
          <w:lang w:val="de-DE" w:eastAsia="de-DE" w:bidi="ar-SA"/>
        </w:rPr>
        <w:lastRenderedPageBreak/>
        <w:t>dem Datum des Erlasses der Entscheidung der Kommission ab, führt ein Anhörungsverfahren gemäß §1 und übermittelt den geänderten Entwurf der Kommission.</w:t>
      </w:r>
    </w:p>
    <w:p w14:paraId="0075D9AC" w14:textId="77777777" w:rsidR="00D12636" w:rsidRPr="00872513" w:rsidRDefault="00D12636" w:rsidP="00D12636">
      <w:pPr>
        <w:rPr>
          <w:rFonts w:asciiTheme="majorHAnsi" w:hAnsiTheme="majorHAnsi" w:cs="Arial"/>
          <w:i/>
          <w:sz w:val="20"/>
          <w:szCs w:val="20"/>
          <w:lang w:val="de-DE" w:eastAsia="de-DE" w:bidi="ar-SA"/>
        </w:rPr>
      </w:pPr>
    </w:p>
    <w:p w14:paraId="442C3F26" w14:textId="77777777" w:rsidR="00D12636" w:rsidRPr="00872513" w:rsidRDefault="00D12636" w:rsidP="00D12636">
      <w:pPr>
        <w:ind w:left="1080"/>
        <w:rPr>
          <w:rFonts w:asciiTheme="majorHAnsi" w:hAnsiTheme="majorHAnsi" w:cs="Arial"/>
          <w:i/>
          <w:sz w:val="20"/>
          <w:szCs w:val="20"/>
          <w:lang w:val="de-DE" w:eastAsia="de-DE" w:bidi="ar-SA"/>
        </w:rPr>
      </w:pPr>
      <w:r w:rsidRPr="00872513">
        <w:rPr>
          <w:rFonts w:asciiTheme="majorHAnsi" w:hAnsiTheme="majorHAnsi" w:cs="Arial"/>
          <w:i/>
          <w:sz w:val="20"/>
          <w:szCs w:val="20"/>
          <w:lang w:val="de-DE" w:eastAsia="de-DE" w:bidi="ar-SA"/>
        </w:rPr>
        <w:t xml:space="preserve">Die Beschlusskammer übermittelt der Europäischen Kommission und dem GEREK alle angenommenen endgültigen Maßnahmen, auf die Absatz 1 Satz 1 zutrifft. </w:t>
      </w:r>
    </w:p>
    <w:p w14:paraId="707F8053" w14:textId="77777777" w:rsidR="00D12636" w:rsidRPr="00872513" w:rsidRDefault="00D12636" w:rsidP="00D12636">
      <w:pPr>
        <w:rPr>
          <w:rFonts w:asciiTheme="majorHAnsi" w:hAnsiTheme="majorHAnsi" w:cs="Arial"/>
          <w:i/>
          <w:sz w:val="20"/>
          <w:szCs w:val="20"/>
          <w:lang w:val="de-DE" w:eastAsia="de-DE" w:bidi="ar-SA"/>
        </w:rPr>
      </w:pPr>
    </w:p>
    <w:p w14:paraId="051DD51F" w14:textId="602AEA66" w:rsidR="00572AB0" w:rsidRPr="00D12636" w:rsidRDefault="00D12636" w:rsidP="00D12636">
      <w:pPr>
        <w:keepLines/>
        <w:spacing w:after="360" w:line="276" w:lineRule="auto"/>
        <w:ind w:left="1080"/>
        <w:rPr>
          <w:rFonts w:cstheme="minorBidi"/>
          <w:i/>
          <w:szCs w:val="24"/>
          <w:lang w:val="de-DE"/>
        </w:rPr>
      </w:pPr>
      <w:r w:rsidRPr="00872513">
        <w:rPr>
          <w:rFonts w:asciiTheme="majorHAnsi" w:hAnsiTheme="majorHAnsi" w:cs="Arial"/>
          <w:i/>
          <w:sz w:val="20"/>
          <w:szCs w:val="20"/>
          <w:lang w:val="de-DE" w:eastAsia="de-DE" w:bidi="ar-SA"/>
        </w:rPr>
        <w:t>Ist die Beschlusskammer bei Vorliegen außergewöhnlicher Umstände der Ansicht, dass dringend – ohne Einhaltung des Verfahrens gemäß §1 und den Absätzen 1 bis 3 – gehandelt werden muss, um den Wettbewerb zu gewährleisten und die Nutzerinteressen zu schützen, so kann sie umgehend angemessene vorläufige Maßnahmen erlassen. Sie teilt diese der Europäischen Kommission und den übrigen nationalen Regulierungsbehörden unverzüglich mit einer vollständigen Begründung mit. Ein Beschluss der Beschlusskammer, diese Maßnahmen dauerhaft zu machen oder ihre Geltungsdauer zu verlängern, unterliegt den Bestimmungen des §1 und der Absätze 1 bis 4.]</w:t>
      </w:r>
    </w:p>
    <w:p w14:paraId="051DD520" w14:textId="77777777" w:rsidR="00572AB0" w:rsidRPr="00291CE2" w:rsidRDefault="00572AB0" w:rsidP="002D7468">
      <w:pPr>
        <w:pStyle w:val="berschrift3"/>
      </w:pPr>
      <w:r>
        <w:t>Méthode et résultats de la consultation européenne</w:t>
      </w:r>
    </w:p>
    <w:p w14:paraId="051DD521" w14:textId="77777777" w:rsidR="00572AB0" w:rsidRPr="00291CE2" w:rsidRDefault="00572AB0" w:rsidP="00CF7193">
      <w:pPr>
        <w:pStyle w:val="Opmaakprofiel1"/>
      </w:pPr>
      <w:r>
        <w:t xml:space="preserve"> [Sera complété ultérieurement]</w:t>
      </w:r>
    </w:p>
    <w:p w14:paraId="051DD522" w14:textId="77777777" w:rsidR="00572AB0" w:rsidRPr="00291CE2" w:rsidRDefault="00572AB0" w:rsidP="00572AB0">
      <w:pPr>
        <w:pStyle w:val="berschrift1"/>
        <w:numPr>
          <w:ilvl w:val="0"/>
          <w:numId w:val="2"/>
        </w:numPr>
      </w:pPr>
      <w:bookmarkStart w:id="24" w:name="_Toc305507948"/>
      <w:bookmarkStart w:id="25" w:name="_Toc422491253"/>
      <w:bookmarkStart w:id="26" w:name="_Toc430001806"/>
      <w:r>
        <w:lastRenderedPageBreak/>
        <w:t>Cadre réglementaire</w:t>
      </w:r>
      <w:bookmarkEnd w:id="24"/>
      <w:bookmarkEnd w:id="25"/>
      <w:bookmarkEnd w:id="26"/>
    </w:p>
    <w:p w14:paraId="051DD523" w14:textId="6CC6BEBC" w:rsidR="00572AB0" w:rsidRPr="00291CE2" w:rsidRDefault="00D12636" w:rsidP="00CF7193">
      <w:pPr>
        <w:pStyle w:val="Opmaakprofiel1"/>
      </w:pPr>
      <w:r>
        <w:t>Le décret du 27 juin 2005</w:t>
      </w:r>
      <w:r w:rsidR="00572AB0">
        <w:t xml:space="preserve"> prévoit que les opérateurs disposant d’une puissance significative sur un marché peuvent se voir imposer (entre autres) des obligations d’accès, de non-discrimination, d’orientation sur les coûts et de transparence au terme de l’analyse de ce marché</w:t>
      </w:r>
      <w:r w:rsidR="00572AB0">
        <w:rPr>
          <w:rStyle w:val="Funotenzeichen"/>
        </w:rPr>
        <w:footnoteReference w:id="11"/>
      </w:r>
      <w:r w:rsidR="00572AB0">
        <w:t>.</w:t>
      </w:r>
    </w:p>
    <w:p w14:paraId="051DD524" w14:textId="464D30EE" w:rsidR="00572AB0" w:rsidRPr="00291CE2" w:rsidRDefault="00572AB0" w:rsidP="00CF7193">
      <w:pPr>
        <w:pStyle w:val="Opmaakprofiel1"/>
      </w:pPr>
      <w:r>
        <w:t>L'analyse de ce marché a été réalisée dans le cadre de la décision du 1er juillet 2011 concernant l’analyse du marché radiodiffusion télévisuelle de la Conférence des régulateurs du secteur des communications électroniques et adoptée sur la base de l’article 3 de l’accord de coopération du 17 novembre 2006.</w:t>
      </w:r>
    </w:p>
    <w:p w14:paraId="051DD525" w14:textId="1F0006D1" w:rsidR="00572AB0" w:rsidRPr="00291CE2" w:rsidRDefault="00572AB0" w:rsidP="00CF7193">
      <w:pPr>
        <w:pStyle w:val="Opmaakprofiel1"/>
      </w:pPr>
      <w:r>
        <w:t>Dans sa décision du 1er juillet 2011, la CRC a décidé d’imposer une obligation de transparence concernant les trois formes d’accès de gros que les opérateurs PSM doivent proposer. En vertu de cette obligation, les opérateurs PSM doivent, entre autres, rédiger une offre de référence portant sur l’accès à la revente de la télévision analogique, l’accès à la plateforme de télévision numérique et l’accès à la revente de services large bande</w:t>
      </w:r>
      <w:r>
        <w:rPr>
          <w:rStyle w:val="Funotenzeichen"/>
        </w:rPr>
        <w:footnoteReference w:id="12"/>
      </w:r>
      <w:r>
        <w:t>. Les opér</w:t>
      </w:r>
      <w:r w:rsidR="00D12636">
        <w:t>ateurs PSM devaient soumettre au MEDIENRAT</w:t>
      </w:r>
      <w:r>
        <w:t xml:space="preserve"> une proposition d’offre de référence concernant le territoire de la région </w:t>
      </w:r>
      <w:r w:rsidR="00C444FE">
        <w:t>de langue allemande</w:t>
      </w:r>
      <w:r>
        <w:t xml:space="preserve"> dans les six mois suivant l’adoption de la décision de la CRC</w:t>
      </w:r>
      <w:r>
        <w:rPr>
          <w:rStyle w:val="Funotenzeichen"/>
        </w:rPr>
        <w:footnoteReference w:id="13"/>
      </w:r>
      <w:r>
        <w:t>.</w:t>
      </w:r>
    </w:p>
    <w:p w14:paraId="051DD526" w14:textId="2F3167C2" w:rsidR="00572AB0" w:rsidRPr="00291CE2" w:rsidRDefault="00572AB0" w:rsidP="00CF7193">
      <w:pPr>
        <w:pStyle w:val="Opmaakprofiel1"/>
      </w:pPr>
      <w:r>
        <w:t xml:space="preserve">En tant que régulateur des médias audiovisuels sur le territoire </w:t>
      </w:r>
      <w:r w:rsidR="00D12636">
        <w:t>de la région de langue allemande</w:t>
      </w:r>
      <w:r>
        <w:t xml:space="preserve">, </w:t>
      </w:r>
      <w:r w:rsidR="00D12636">
        <w:t xml:space="preserve">le MEDIENRAT </w:t>
      </w:r>
      <w:r>
        <w:t>est compétent pour l’exécution de cette décision du 1er juillet 2011 conformément à l’article 6 de l’accord de coopération du 17 novembre 2006.</w:t>
      </w:r>
    </w:p>
    <w:p w14:paraId="051DD527" w14:textId="77777777" w:rsidR="00572AB0" w:rsidRPr="00291CE2" w:rsidRDefault="00572AB0" w:rsidP="00CF7193">
      <w:pPr>
        <w:pStyle w:val="Opmaakprofiel1"/>
      </w:pPr>
      <w:r>
        <w:t>Le but de la publication d’une offre de référence est de fournir des précisions sur les conditions à remplir pour pouvoir bénéficier des services de l’opérateur puissant sur le marché et évaluer suffisamment à l'avance si ces conditions sont effectivement favorables</w:t>
      </w:r>
      <w:r>
        <w:rPr>
          <w:rStyle w:val="Funotenzeichen"/>
        </w:rPr>
        <w:footnoteReference w:id="14"/>
      </w:r>
      <w:r>
        <w:t>. Ces informations sont essentielles pour les bénéficiaires afin de leur permettre d'établir un plan d’affaires précis et rentable.</w:t>
      </w:r>
    </w:p>
    <w:p w14:paraId="051DD528" w14:textId="55227576" w:rsidR="00572AB0" w:rsidRPr="00291CE2" w:rsidRDefault="00572AB0" w:rsidP="00CF7193">
      <w:pPr>
        <w:pStyle w:val="Opmaakprofiel1"/>
      </w:pPr>
      <w:r>
        <w:lastRenderedPageBreak/>
        <w:t xml:space="preserve">Ce que confirme l’article </w:t>
      </w:r>
      <w:r w:rsidR="00D12636">
        <w:t>72.1, al. 2, phrase 1, du décret du 27 juin 2005</w:t>
      </w:r>
      <w:r>
        <w:t>, qui dispose que :</w:t>
      </w:r>
    </w:p>
    <w:p w14:paraId="051DD529" w14:textId="7C4CBA36" w:rsidR="00572AB0" w:rsidRPr="00D12636" w:rsidRDefault="00D12636" w:rsidP="00572AB0">
      <w:pPr>
        <w:keepLines/>
        <w:spacing w:after="360" w:line="276" w:lineRule="auto"/>
        <w:ind w:left="1416"/>
        <w:rPr>
          <w:rFonts w:cstheme="minorBidi"/>
          <w:i/>
          <w:szCs w:val="24"/>
          <w:lang w:val="de-DE"/>
        </w:rPr>
      </w:pPr>
      <w:r w:rsidRPr="00872513">
        <w:rPr>
          <w:rFonts w:asciiTheme="majorHAnsi" w:hAnsiTheme="majorHAnsi"/>
          <w:i/>
          <w:sz w:val="20"/>
          <w:szCs w:val="20"/>
          <w:lang w:val="de-DE"/>
        </w:rPr>
        <w:t>« </w:t>
      </w:r>
      <w:r w:rsidRPr="00872513">
        <w:rPr>
          <w:rFonts w:asciiTheme="majorHAnsi" w:hAnsiTheme="majorHAnsi" w:cs="Arial"/>
          <w:i/>
          <w:sz w:val="20"/>
          <w:szCs w:val="20"/>
          <w:lang w:val="de-DE" w:eastAsia="de-DE" w:bidi="ar-SA"/>
        </w:rPr>
        <w:t xml:space="preserve">Die Beschlusskammer kann insbesondere von Betreibern mit Gleichbehandlungsverpflichtungen die Veröffentlichung eines Standardangebots verlangen, das hinreichend entbündelt ist, um sicherzustellen, dass Unternehmen nicht für Leistungen zahlen müssen, die für den gewünschten Dienst nicht erforderlich sind, und in dem die betreffenden Dienstangebote dem Marktbedarf entsprechend in einzelne Komponenten aufgeschlüsselt und die entsprechenden Bedingungen einschließlich der Tarife angegeben werden. </w:t>
      </w:r>
      <w:r>
        <w:rPr>
          <w:rFonts w:asciiTheme="majorHAnsi" w:hAnsiTheme="majorHAnsi"/>
          <w:i/>
          <w:sz w:val="20"/>
          <w:szCs w:val="20"/>
          <w:lang w:val="de-DE"/>
        </w:rPr>
        <w:t> »</w:t>
      </w:r>
    </w:p>
    <w:p w14:paraId="051DD52A" w14:textId="35215C74" w:rsidR="00572AB0" w:rsidRPr="00291CE2" w:rsidRDefault="00D12636" w:rsidP="00CF7193">
      <w:pPr>
        <w:pStyle w:val="Opmaakprofiel1"/>
      </w:pPr>
      <w:r>
        <w:t>Le MEDIENRAT</w:t>
      </w:r>
      <w:r w:rsidR="00572AB0">
        <w:t xml:space="preserve"> peut imposer que l'offre de référence fasse l'objet des modifications qu'il estime nécessaires en vue d'imposer les mesures prévues par la présente loi. La décision de la CRC confirme également que </w:t>
      </w:r>
      <w:r>
        <w:t>le MEDIENRAT</w:t>
      </w:r>
      <w:r w:rsidR="00572AB0">
        <w:t xml:space="preserve"> est compétent pour imposer des modifications de l’offre de référence, puisqu’elle stipule que : </w:t>
      </w:r>
    </w:p>
    <w:p w14:paraId="051DD52B" w14:textId="053AE3A3" w:rsidR="00572AB0" w:rsidRDefault="00D12636" w:rsidP="00572AB0">
      <w:pPr>
        <w:keepLines/>
        <w:spacing w:after="360" w:line="276" w:lineRule="auto"/>
        <w:ind w:left="1416"/>
        <w:rPr>
          <w:rFonts w:cstheme="minorBidi"/>
          <w:i/>
          <w:szCs w:val="24"/>
        </w:rPr>
      </w:pPr>
      <w:r w:rsidRPr="001F3ACC">
        <w:rPr>
          <w:rFonts w:asciiTheme="majorHAnsi" w:hAnsiTheme="majorHAnsi" w:cstheme="minorBidi"/>
          <w:i/>
          <w:sz w:val="20"/>
          <w:szCs w:val="20"/>
        </w:rPr>
        <w:t>« </w:t>
      </w:r>
      <w:proofErr w:type="spellStart"/>
      <w:r w:rsidRPr="001F3ACC">
        <w:rPr>
          <w:rFonts w:asciiTheme="majorHAnsi" w:hAnsiTheme="majorHAnsi" w:cs="Arial"/>
          <w:i/>
          <w:sz w:val="20"/>
          <w:szCs w:val="20"/>
          <w:lang w:eastAsia="de-DE" w:bidi="ar-SA"/>
        </w:rPr>
        <w:t>Das</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Standardangebot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und</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etwaige</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Anpassungen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hiervon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muss</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durch</w:t>
      </w:r>
      <w:proofErr w:type="spellEnd"/>
      <w:r w:rsidRPr="001F3ACC">
        <w:rPr>
          <w:rFonts w:asciiTheme="majorHAnsi" w:hAnsiTheme="majorHAnsi" w:cs="Arial"/>
          <w:i/>
          <w:sz w:val="20"/>
          <w:szCs w:val="20"/>
          <w:lang w:eastAsia="de-DE" w:bidi="ar-SA"/>
        </w:rPr>
        <w:t xml:space="preserve"> den MEDIENRAT </w:t>
      </w:r>
      <w:proofErr w:type="spellStart"/>
      <w:r w:rsidRPr="001F3ACC">
        <w:rPr>
          <w:rFonts w:asciiTheme="majorHAnsi" w:hAnsiTheme="majorHAnsi" w:cs="Arial"/>
          <w:i/>
          <w:sz w:val="20"/>
          <w:szCs w:val="20"/>
          <w:lang w:eastAsia="de-DE" w:bidi="ar-SA"/>
        </w:rPr>
        <w:t>genehmigt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werden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bevor</w:t>
      </w:r>
      <w:proofErr w:type="spellEnd"/>
      <w:r w:rsidRPr="001F3ACC">
        <w:rPr>
          <w:rFonts w:asciiTheme="majorHAnsi" w:hAnsiTheme="majorHAnsi" w:cs="Arial"/>
          <w:i/>
          <w:sz w:val="20"/>
          <w:szCs w:val="20"/>
          <w:lang w:eastAsia="de-DE" w:bidi="ar-SA"/>
        </w:rPr>
        <w:t xml:space="preserve"> es </w:t>
      </w:r>
      <w:proofErr w:type="spellStart"/>
      <w:r w:rsidRPr="001F3ACC">
        <w:rPr>
          <w:rFonts w:asciiTheme="majorHAnsi" w:hAnsiTheme="majorHAnsi" w:cs="Arial"/>
          <w:i/>
          <w:sz w:val="20"/>
          <w:szCs w:val="20"/>
          <w:lang w:eastAsia="de-DE" w:bidi="ar-SA"/>
        </w:rPr>
        <w:t>veröffentlicht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wird</w:t>
      </w:r>
      <w:proofErr w:type="spellEnd"/>
      <w:r w:rsidRPr="001F3ACC">
        <w:rPr>
          <w:rFonts w:asciiTheme="majorHAnsi" w:hAnsiTheme="majorHAnsi" w:cs="Arial"/>
          <w:i/>
          <w:sz w:val="20"/>
          <w:szCs w:val="20"/>
          <w:lang w:eastAsia="de-DE" w:bidi="ar-SA"/>
        </w:rPr>
        <w:t xml:space="preserve">. Der MEDIENRAT </w:t>
      </w:r>
      <w:proofErr w:type="spellStart"/>
      <w:r w:rsidRPr="001F3ACC">
        <w:rPr>
          <w:rFonts w:asciiTheme="majorHAnsi" w:hAnsiTheme="majorHAnsi" w:cs="Arial"/>
          <w:i/>
          <w:sz w:val="20"/>
          <w:szCs w:val="20"/>
          <w:lang w:eastAsia="de-DE" w:bidi="ar-SA"/>
        </w:rPr>
        <w:t>wird</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hierbei</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Anpassungen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auferlegen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wenn</w:t>
      </w:r>
      <w:proofErr w:type="spellEnd"/>
      <w:r w:rsidRPr="001F3ACC">
        <w:rPr>
          <w:rFonts w:asciiTheme="majorHAnsi" w:hAnsiTheme="majorHAnsi" w:cs="Arial"/>
          <w:i/>
          <w:sz w:val="20"/>
          <w:szCs w:val="20"/>
          <w:lang w:eastAsia="de-DE" w:bidi="ar-SA"/>
        </w:rPr>
        <w:t xml:space="preserve"> der </w:t>
      </w:r>
      <w:proofErr w:type="spellStart"/>
      <w:r w:rsidRPr="001F3ACC">
        <w:rPr>
          <w:rFonts w:asciiTheme="majorHAnsi" w:hAnsiTheme="majorHAnsi" w:cs="Arial"/>
          <w:i/>
          <w:sz w:val="20"/>
          <w:szCs w:val="20"/>
          <w:lang w:eastAsia="de-DE" w:bidi="ar-SA"/>
        </w:rPr>
        <w:t>Vorschlag</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nicht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im</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Einklang</w:t>
      </w:r>
      <w:proofErr w:type="spellEnd"/>
      <w:r w:rsidRPr="001F3ACC">
        <w:rPr>
          <w:rFonts w:asciiTheme="majorHAnsi" w:hAnsiTheme="majorHAnsi" w:cs="Arial"/>
          <w:i/>
          <w:sz w:val="20"/>
          <w:szCs w:val="20"/>
          <w:lang w:eastAsia="de-DE" w:bidi="ar-SA"/>
        </w:rPr>
        <w:t xml:space="preserve"> mit den </w:t>
      </w:r>
      <w:proofErr w:type="spellStart"/>
      <w:r w:rsidRPr="001F3ACC">
        <w:rPr>
          <w:rFonts w:asciiTheme="majorHAnsi" w:hAnsiTheme="majorHAnsi" w:cs="Arial"/>
          <w:i/>
          <w:sz w:val="20"/>
          <w:szCs w:val="20"/>
          <w:lang w:eastAsia="de-DE" w:bidi="ar-SA"/>
        </w:rPr>
        <w:t>regulatorischen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Anforderungen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oder</w:t>
      </w:r>
      <w:proofErr w:type="spellEnd"/>
      <w:r w:rsidRPr="001F3ACC">
        <w:rPr>
          <w:rFonts w:asciiTheme="majorHAnsi" w:hAnsiTheme="majorHAnsi" w:cs="Arial"/>
          <w:i/>
          <w:sz w:val="20"/>
          <w:szCs w:val="20"/>
          <w:lang w:eastAsia="de-DE" w:bidi="ar-SA"/>
        </w:rPr>
        <w:t xml:space="preserve"> mit den </w:t>
      </w:r>
      <w:proofErr w:type="spellStart"/>
      <w:r w:rsidRPr="001F3ACC">
        <w:rPr>
          <w:rFonts w:asciiTheme="majorHAnsi" w:hAnsiTheme="majorHAnsi" w:cs="Arial"/>
          <w:i/>
          <w:sz w:val="20"/>
          <w:szCs w:val="20"/>
          <w:lang w:eastAsia="de-DE" w:bidi="ar-SA"/>
        </w:rPr>
        <w:t>Wettbewerbsbedürfnissen</w:t>
      </w:r>
      <w:proofErr w:type="spellEnd"/>
      <w:r w:rsidRPr="001F3ACC">
        <w:rPr>
          <w:rFonts w:asciiTheme="majorHAnsi" w:hAnsiTheme="majorHAnsi" w:cs="Arial"/>
          <w:i/>
          <w:sz w:val="20"/>
          <w:szCs w:val="20"/>
          <w:lang w:eastAsia="de-DE" w:bidi="ar-SA"/>
        </w:rPr>
        <w:t xml:space="preserve"> des </w:t>
      </w:r>
      <w:proofErr w:type="spellStart"/>
      <w:r w:rsidRPr="001F3ACC">
        <w:rPr>
          <w:rFonts w:asciiTheme="majorHAnsi" w:hAnsiTheme="majorHAnsi" w:cs="Arial"/>
          <w:i/>
          <w:sz w:val="20"/>
          <w:szCs w:val="20"/>
          <w:lang w:eastAsia="de-DE" w:bidi="ar-SA"/>
        </w:rPr>
        <w:t>Marktes</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steht</w:t>
      </w:r>
      <w:proofErr w:type="spellEnd"/>
      <w:r w:rsidRPr="001F3ACC">
        <w:rPr>
          <w:rFonts w:asciiTheme="majorHAnsi" w:hAnsiTheme="majorHAnsi" w:cs="Arial"/>
          <w:i/>
          <w:sz w:val="20"/>
          <w:szCs w:val="20"/>
          <w:lang w:eastAsia="de-DE" w:bidi="ar-SA"/>
        </w:rPr>
        <w:t>.</w:t>
      </w:r>
      <w:r w:rsidR="00572AB0">
        <w:rPr>
          <w:rFonts w:cstheme="minorBidi"/>
          <w:i/>
        </w:rPr>
        <w:t>»</w:t>
      </w:r>
      <w:r w:rsidR="00572AB0">
        <w:rPr>
          <w:rFonts w:cstheme="minorBidi"/>
          <w:vertAlign w:val="superscript"/>
        </w:rPr>
        <w:footnoteReference w:id="15"/>
      </w:r>
    </w:p>
    <w:p w14:paraId="051DD535" w14:textId="08082691" w:rsidR="00572AB0" w:rsidRDefault="00572AB0" w:rsidP="00CF7193">
      <w:pPr>
        <w:pStyle w:val="Opmaakprofiel1"/>
      </w:pPr>
      <w:r>
        <w:t>La décision de la CRC du 1er juillet 2011 détermine les aspects qui doivent au moins être traités dans l’offre de référence. L’offre de référence traite entre autres des conditions techniques et tarifaires relatives à l’accès, aux services de colocalisation, aux systèmes d’information, ainsi que des conditions de fourniture, des limitations techniques, de la migration des utilisateurs finals et des modifications apportées à l’offre de chaînes</w:t>
      </w:r>
      <w:r>
        <w:rPr>
          <w:rStyle w:val="Funotenzeichen"/>
        </w:rPr>
        <w:footnoteReference w:id="16"/>
      </w:r>
      <w:r>
        <w:t>.</w:t>
      </w:r>
    </w:p>
    <w:p w14:paraId="6C7490D0" w14:textId="1F5E579F" w:rsidR="008003B5" w:rsidRPr="00291CE2" w:rsidRDefault="008003B5" w:rsidP="00CF7193">
      <w:pPr>
        <w:pStyle w:val="Opmaakprofiel1"/>
      </w:pPr>
      <w:r>
        <w:t xml:space="preserve">Par la présente décision, </w:t>
      </w:r>
      <w:r w:rsidR="00D12636">
        <w:t>le MEDIENRAT</w:t>
      </w:r>
      <w:r>
        <w:t xml:space="preserve"> évaluera les adaptations de l’offre de référence de </w:t>
      </w:r>
      <w:proofErr w:type="spellStart"/>
      <w:r w:rsidR="00D12636">
        <w:t>Nethys</w:t>
      </w:r>
      <w:proofErr w:type="spellEnd"/>
      <w:r>
        <w:t xml:space="preserve"> à la lumière de ce cadre réglémentaire.</w:t>
      </w:r>
    </w:p>
    <w:p w14:paraId="051DD536" w14:textId="77777777" w:rsidR="006257F8" w:rsidRPr="00291CE2" w:rsidRDefault="006257F8" w:rsidP="000C30E9">
      <w:pPr>
        <w:pStyle w:val="Opmaakprofiel1"/>
        <w:numPr>
          <w:ilvl w:val="0"/>
          <w:numId w:val="0"/>
        </w:numPr>
        <w:ind w:left="786"/>
      </w:pPr>
    </w:p>
    <w:p w14:paraId="051DD537" w14:textId="77777777" w:rsidR="001E3A59" w:rsidRDefault="00E11F29" w:rsidP="00F5677B">
      <w:pPr>
        <w:pStyle w:val="berschrift1"/>
      </w:pPr>
      <w:bookmarkStart w:id="27" w:name="_Toc422491254"/>
      <w:bookmarkStart w:id="28" w:name="_Toc430001807"/>
      <w:r>
        <w:lastRenderedPageBreak/>
        <w:t>Single VISIT</w:t>
      </w:r>
      <w:bookmarkEnd w:id="27"/>
      <w:bookmarkEnd w:id="28"/>
    </w:p>
    <w:p w14:paraId="051DD538" w14:textId="77777777" w:rsidR="00E11F29" w:rsidRDefault="00E11F29" w:rsidP="00E11F29">
      <w:pPr>
        <w:pStyle w:val="berschrift2"/>
      </w:pPr>
      <w:bookmarkStart w:id="29" w:name="_Toc422491255"/>
      <w:bookmarkStart w:id="30" w:name="_Toc430001808"/>
      <w:r>
        <w:t>Introduction</w:t>
      </w:r>
      <w:bookmarkEnd w:id="29"/>
      <w:bookmarkEnd w:id="30"/>
    </w:p>
    <w:p w14:paraId="051DD539" w14:textId="07B3C161" w:rsidR="00E933A6" w:rsidRDefault="003D7734" w:rsidP="00881FFF">
      <w:pPr>
        <w:pStyle w:val="Opmaakprofiel1"/>
      </w:pPr>
      <w:r>
        <w:t>De par la répartition des responsabilités entre les différentes parties (</w:t>
      </w:r>
      <w:proofErr w:type="spellStart"/>
      <w:r w:rsidR="00C444FE">
        <w:t>Nethys</w:t>
      </w:r>
      <w:proofErr w:type="spellEnd"/>
      <w:r>
        <w:t xml:space="preserve"> est responsable du raccordement ; le bénéficiaire de l'installation intérieure), une installation engendre nécessairement deux visites : l'une pour l'installateur de </w:t>
      </w:r>
      <w:proofErr w:type="spellStart"/>
      <w:r w:rsidR="00C444FE">
        <w:t>Nethys</w:t>
      </w:r>
      <w:proofErr w:type="spellEnd"/>
      <w:r>
        <w:t xml:space="preserve">, qui vient contrôler si le bon NIU a été installé et vérifie ainsi la qualité du signal. Ensuite, l'installateur du bénéficiaire installe le réseau intérieur. Pour le client final concerné, cela signifie que deux rendez-vous doivent être pris et qu'il doit donc se trouver deux fois chez lui. Il s'agit d'un désavantage considérable pour le bénéficiaire vis-à-vis de </w:t>
      </w:r>
      <w:proofErr w:type="spellStart"/>
      <w:r w:rsidR="00C444FE">
        <w:t>Nethys</w:t>
      </w:r>
      <w:proofErr w:type="spellEnd"/>
      <w:r>
        <w:t>, qui peut faire exécuter ces deux éléments en même temps par le même technicien. Cela constitue une barrière à la réussite d'un lancement.</w:t>
      </w:r>
    </w:p>
    <w:p w14:paraId="051DD53A" w14:textId="4FD299E1" w:rsidR="00E11F29" w:rsidRPr="00881FFF" w:rsidRDefault="00E11F29" w:rsidP="00881FFF">
      <w:pPr>
        <w:pStyle w:val="Opmaakprofiel1"/>
      </w:pPr>
      <w:r>
        <w:t>Au § 23</w:t>
      </w:r>
      <w:r w:rsidR="00C444FE">
        <w:t>5</w:t>
      </w:r>
      <w:r>
        <w:t xml:space="preserve"> de la Décision de la CRC du 3 septembre 2013 concernant l'offre de référence de gros de </w:t>
      </w:r>
      <w:proofErr w:type="spellStart"/>
      <w:r w:rsidR="00C444FE">
        <w:t>Nethys</w:t>
      </w:r>
      <w:proofErr w:type="spellEnd"/>
      <w:r>
        <w:t xml:space="preserve">, </w:t>
      </w:r>
      <w:r w:rsidR="00C444FE">
        <w:t>le MEDIENRAT</w:t>
      </w:r>
      <w:r>
        <w:t xml:space="preserve"> a donc stipulé que </w:t>
      </w:r>
      <w:proofErr w:type="spellStart"/>
      <w:r w:rsidR="00C444FE">
        <w:t>Nethys</w:t>
      </w:r>
      <w:proofErr w:type="spellEnd"/>
      <w:r w:rsidR="00C444FE">
        <w:t xml:space="preserve"> </w:t>
      </w:r>
      <w:r>
        <w:t xml:space="preserve">et le bénéficiaire de l'offre de référence devaient combiner plusieurs interventions dans le cadre d'une installation en un seul rendez-vous afin de minimiser l'impact pour le client : </w:t>
      </w:r>
      <w:r>
        <w:rPr>
          <w:i/>
        </w:rPr>
        <w:t xml:space="preserve">«  [...] Si par exemple deux interventions devaient être nécessaires chez un client final, par exemple l'une pour l'installation d'un NIU (responsabilité </w:t>
      </w:r>
      <w:proofErr w:type="spellStart"/>
      <w:r w:rsidR="00C444FE" w:rsidRPr="00C444FE">
        <w:rPr>
          <w:i/>
        </w:rPr>
        <w:t>Nethys</w:t>
      </w:r>
      <w:proofErr w:type="spellEnd"/>
      <w:r>
        <w:rPr>
          <w:i/>
        </w:rPr>
        <w:t xml:space="preserve">) et l'autre pour la poursuite du développement de l'installation intérieure (responsabilité bénéficiaire), </w:t>
      </w:r>
      <w:r w:rsidR="00C444FE">
        <w:rPr>
          <w:i/>
        </w:rPr>
        <w:t>le MEDIENRAT</w:t>
      </w:r>
      <w:r>
        <w:rPr>
          <w:i/>
        </w:rPr>
        <w:t xml:space="preserve"> estime raisonnable que </w:t>
      </w:r>
      <w:proofErr w:type="spellStart"/>
      <w:r w:rsidR="00C444FE" w:rsidRPr="00C444FE">
        <w:rPr>
          <w:i/>
        </w:rPr>
        <w:t>Nethys</w:t>
      </w:r>
      <w:proofErr w:type="spellEnd"/>
      <w:r w:rsidR="00C444FE">
        <w:t xml:space="preserve"> </w:t>
      </w:r>
      <w:r>
        <w:rPr>
          <w:i/>
        </w:rPr>
        <w:t xml:space="preserve">et le bénéficiaire s'efforcent de collaborer en toute bonne foi afin de combiner ces deux interventions en un seul rendez-vous. [...] » </w:t>
      </w:r>
      <w:r>
        <w:t>Cette obligation a également été imposée à Telenet par la CRC dans le cadre de la Décision du 3 septembre 2013</w:t>
      </w:r>
      <w:r>
        <w:rPr>
          <w:rStyle w:val="Funotenzeichen"/>
        </w:rPr>
        <w:footnoteReference w:id="17"/>
      </w:r>
      <w:r>
        <w:t>.</w:t>
      </w:r>
    </w:p>
    <w:p w14:paraId="051DD53B" w14:textId="77777777" w:rsidR="00881FFF" w:rsidRDefault="00881FFF" w:rsidP="00881FFF">
      <w:pPr>
        <w:pStyle w:val="Opmaakprofiel1"/>
      </w:pPr>
      <w:r>
        <w:t>Telenet s'est conformée à cette exigence et a développé une procédure afin que le client final n'ait plus qu'à gérer une seule visite d'un technicien. Telenet a ainsi choisi de permettre au bénéficiaire d'installer les NIU chez ses clients finals. De cette manière, un client de détail du bénéficiaire n'entre en principe en contact avec Telenet à aucun moment du processus d'installation.</w:t>
      </w:r>
    </w:p>
    <w:p w14:paraId="051DD53C" w14:textId="36862389" w:rsidR="00881FFF" w:rsidRDefault="00C444FE" w:rsidP="00881FFF">
      <w:pPr>
        <w:pStyle w:val="Opmaakprofiel1"/>
      </w:pPr>
      <w:proofErr w:type="spellStart"/>
      <w:r>
        <w:t>Nethys</w:t>
      </w:r>
      <w:proofErr w:type="spellEnd"/>
      <w:r>
        <w:t xml:space="preserve"> </w:t>
      </w:r>
      <w:r w:rsidR="00B94D90">
        <w:t>élabore à l'heure actuelle un processus semblable pour les bénéficiaires de l'offre de référence, afin de répondre à cette problématique.</w:t>
      </w:r>
    </w:p>
    <w:p w14:paraId="4917ABC3" w14:textId="5FE11E2F" w:rsidR="008003B5" w:rsidRDefault="008003B5" w:rsidP="008003B5">
      <w:pPr>
        <w:pStyle w:val="Opmaakprofiel1"/>
      </w:pPr>
      <w:r w:rsidRPr="008003B5">
        <w:lastRenderedPageBreak/>
        <w:t>Comme il y</w:t>
      </w:r>
      <w:r w:rsidR="00810CD6">
        <w:t xml:space="preserve"> </w:t>
      </w:r>
      <w:r w:rsidRPr="008003B5">
        <w:t>a encore des incertitudes au sujet de la mise en œuvre effective du projet</w:t>
      </w:r>
      <w:r>
        <w:t>,</w:t>
      </w:r>
      <w:r w:rsidRPr="008003B5">
        <w:t xml:space="preserve"> </w:t>
      </w:r>
      <w:r w:rsidR="00C444FE">
        <w:t>le MEDIENRAT</w:t>
      </w:r>
      <w:r w:rsidRPr="008003B5">
        <w:t xml:space="preserve"> est</w:t>
      </w:r>
      <w:r>
        <w:t>ime</w:t>
      </w:r>
      <w:r w:rsidRPr="008003B5">
        <w:t xml:space="preserve"> nécessaire d'établir des lignes directrices. Ceux-ci sont mis en place afin d'assurer que le résultat répond aux besoins du marché.</w:t>
      </w:r>
      <w:r>
        <w:t>.</w:t>
      </w:r>
    </w:p>
    <w:p w14:paraId="051DD53D" w14:textId="403736E6" w:rsidR="00881FFF" w:rsidRDefault="008003B5" w:rsidP="00881FFF">
      <w:pPr>
        <w:pStyle w:val="berschrift2"/>
      </w:pPr>
      <w:bookmarkStart w:id="31" w:name="_Toc430001809"/>
      <w:r>
        <w:t>Analyse</w:t>
      </w:r>
      <w:bookmarkEnd w:id="31"/>
    </w:p>
    <w:p w14:paraId="051DD540" w14:textId="474709B5" w:rsidR="003C6FEB" w:rsidRDefault="003C6FEB" w:rsidP="00810CD6">
      <w:pPr>
        <w:pStyle w:val="Opmaakprofiel1"/>
      </w:pPr>
      <w:r>
        <w:t xml:space="preserve">Le </w:t>
      </w:r>
      <w:r w:rsidR="008003B5">
        <w:t>« </w:t>
      </w:r>
      <w:r>
        <w:t>Single Visit</w:t>
      </w:r>
      <w:r w:rsidR="008003B5">
        <w:t> »</w:t>
      </w:r>
      <w:r>
        <w:t xml:space="preserve"> a une grande influence sur les installateurs du bénéficiaire, qui peuvent désormais eux aussi installer des NIU. Ces techniciens doivent toutefois se soumettre à un processus de certifications complémentaires avant de pouvoir procéder à ces installations. </w:t>
      </w:r>
      <w:r w:rsidR="007410DD">
        <w:t xml:space="preserve">Il est donc important que </w:t>
      </w:r>
      <w:proofErr w:type="spellStart"/>
      <w:r w:rsidR="00C444FE">
        <w:t>Nethys</w:t>
      </w:r>
      <w:proofErr w:type="spellEnd"/>
      <w:r w:rsidR="00C444FE">
        <w:t xml:space="preserve"> </w:t>
      </w:r>
      <w:r w:rsidR="007410DD">
        <w:t xml:space="preserve">indique clairement quelle formation supplémentaire le </w:t>
      </w:r>
      <w:r w:rsidR="008003B5">
        <w:t>« </w:t>
      </w:r>
      <w:r w:rsidR="007410DD">
        <w:t>Single Visit</w:t>
      </w:r>
      <w:r w:rsidR="008003B5">
        <w:t> »</w:t>
      </w:r>
      <w:r w:rsidR="007410DD">
        <w:t xml:space="preserve"> implique dans le processus actuel de certification et à quel moment les examens ont lieu. </w:t>
      </w:r>
    </w:p>
    <w:p w14:paraId="051DD543" w14:textId="08A191B9" w:rsidR="00B71EAB" w:rsidRDefault="003C6FEB" w:rsidP="00810CD6">
      <w:pPr>
        <w:pStyle w:val="Opmaakprofiel1"/>
      </w:pPr>
      <w:r>
        <w:t xml:space="preserve">Le Single Visit a multiplié les possibilités </w:t>
      </w:r>
      <w:r w:rsidR="00D03589">
        <w:t xml:space="preserve">de réponse </w:t>
      </w:r>
      <w:r>
        <w:t>dans le cadre de l'enquête d'éligibilité</w:t>
      </w:r>
      <w:r>
        <w:rPr>
          <w:rStyle w:val="Funotenzeichen"/>
        </w:rPr>
        <w:footnoteReference w:id="18"/>
      </w:r>
      <w:r>
        <w:t xml:space="preserve">, </w:t>
      </w:r>
      <w:r w:rsidR="00D03589">
        <w:t>par exemple</w:t>
      </w:r>
      <w:r>
        <w:t xml:space="preserve"> les travaux effectués au NIU n'engendrent plus une intervention de </w:t>
      </w:r>
      <w:proofErr w:type="spellStart"/>
      <w:r w:rsidR="00C444FE">
        <w:t>Nethys</w:t>
      </w:r>
      <w:proofErr w:type="spellEnd"/>
      <w:r w:rsidR="00C444FE">
        <w:t xml:space="preserve"> </w:t>
      </w:r>
      <w:r>
        <w:t xml:space="preserve">mais une intervention du bénéficiaire. Dans des cas exceptionnels, une intervention commune (réunissant des techniciens de </w:t>
      </w:r>
      <w:proofErr w:type="spellStart"/>
      <w:r w:rsidR="00C444FE">
        <w:t>Nethys</w:t>
      </w:r>
      <w:proofErr w:type="spellEnd"/>
      <w:r w:rsidR="00C444FE">
        <w:t xml:space="preserve"> </w:t>
      </w:r>
      <w:r>
        <w:t>et du bénéficiaire en même temps chez le client final) devra être organisée. Il est important qu'un processus soit également mis en place pour ces cas, afin de permettre à ces clients aussi de bénéficier des services du bénéficiaire dans un délai raisonnable.</w:t>
      </w:r>
      <w:r w:rsidR="00D03589">
        <w:t xml:space="preserve"> En outre, l</w:t>
      </w:r>
      <w:r w:rsidR="002C2639">
        <w:t xml:space="preserve">es règles de réservation d'un rendez-vous entre </w:t>
      </w:r>
      <w:proofErr w:type="spellStart"/>
      <w:r w:rsidR="00C444FE">
        <w:t>Nethys</w:t>
      </w:r>
      <w:proofErr w:type="spellEnd"/>
      <w:r w:rsidR="00C444FE">
        <w:t xml:space="preserve"> </w:t>
      </w:r>
      <w:r w:rsidR="002C2639">
        <w:t xml:space="preserve">et le bénéficiaire doivent être clairement définies. </w:t>
      </w:r>
    </w:p>
    <w:p w14:paraId="051DD544" w14:textId="5D71D4F9" w:rsidR="00976230" w:rsidRDefault="00D03589" w:rsidP="00210B2C">
      <w:pPr>
        <w:pStyle w:val="Opmaakprofiel1"/>
      </w:pPr>
      <w:r>
        <w:t>Après vérification, il apparaîtra que d</w:t>
      </w:r>
      <w:r w:rsidR="000E6367">
        <w:t xml:space="preserve">ans certains cas, </w:t>
      </w:r>
      <w:proofErr w:type="spellStart"/>
      <w:r w:rsidR="00C444FE">
        <w:t>Nethys</w:t>
      </w:r>
      <w:proofErr w:type="spellEnd"/>
      <w:r w:rsidR="00C444FE">
        <w:t xml:space="preserve"> </w:t>
      </w:r>
      <w:r w:rsidR="000E6367">
        <w:t>doit encore installer un TAP chez le client final. Les délais de définition de la nécessité d'une installation TAP, de proposition d'une date pour le rendez-vous, de confirmation de cette date etc. sont nécessaires à la stabilité et à la prévisibilité de ce processus d'installation. Cela permet également</w:t>
      </w:r>
      <w:r>
        <w:t xml:space="preserve"> aux bénéficiaires </w:t>
      </w:r>
      <w:r w:rsidR="000E6367">
        <w:t xml:space="preserve">une communication claire et efficace avec le client final. Il convient dès lors de définir </w:t>
      </w:r>
      <w:r>
        <w:t xml:space="preserve">ces délais </w:t>
      </w:r>
      <w:r w:rsidR="000E6367">
        <w:t>explicitement.</w:t>
      </w:r>
    </w:p>
    <w:p w14:paraId="051DD546" w14:textId="133F5F03" w:rsidR="00F957E9" w:rsidRDefault="00976230" w:rsidP="00810CD6">
      <w:pPr>
        <w:pStyle w:val="Opmaakprofiel1"/>
      </w:pPr>
      <w:r>
        <w:t xml:space="preserve">Il existe une série d'incertitudes concernant la répartition des responsabilités lors d'une installation. </w:t>
      </w:r>
      <w:r w:rsidR="00D03589">
        <w:t>Un nombre de</w:t>
      </w:r>
      <w:r>
        <w:t xml:space="preserve"> ces incertitudes</w:t>
      </w:r>
      <w:r w:rsidR="00D03589">
        <w:t xml:space="preserve"> ont été discutés mais les éléments suivants doivent encore être fixés : </w:t>
      </w:r>
      <w:r w:rsidR="003D2CC7">
        <w:t xml:space="preserve">Une longueur de 10 mètres pour le drop cable suffit-elle pour l'installation d'un nouveau client ? Quelles mesures doivent être </w:t>
      </w:r>
      <w:r w:rsidR="003D2CC7">
        <w:lastRenderedPageBreak/>
        <w:t>réalisées après l'installation et de quelle manière doivent-elles être envoyées avec l'identification NIU ?</w:t>
      </w:r>
    </w:p>
    <w:p w14:paraId="051DD548" w14:textId="55A6C9F4" w:rsidR="00E1035A" w:rsidRDefault="00093F7F" w:rsidP="00810CD6">
      <w:pPr>
        <w:pStyle w:val="Opmaakprofiel1"/>
      </w:pPr>
      <w:r>
        <w:t xml:space="preserve">La réparation, dont se charge </w:t>
      </w:r>
      <w:proofErr w:type="spellStart"/>
      <w:r w:rsidR="00C444FE">
        <w:t>Nethys</w:t>
      </w:r>
      <w:proofErr w:type="spellEnd"/>
      <w:r>
        <w:t>, est une procédure importante, parce qu'elle a une grande influence sur l'expérience client. Elle est même tellement importante qu'un client peut décider de résilier son contrat en cas de procédure exagérément longue avec de mauvais résultats. Il est donc essentiel que le processus de réparation soit clairement décrit et que le bénéficiaire soit informé à temps :</w:t>
      </w:r>
      <w:r w:rsidR="00D03589">
        <w:t xml:space="preserve"> les bénéficiaires seront avertis dans l'heure afin de pouvoir donner des informations correctes et concrètes à leurs clients finals, s</w:t>
      </w:r>
      <w:r w:rsidR="00E1035A">
        <w:t xml:space="preserve">i un client final des bénéficiaires constitue une source de perturbations et que, par conséquent, </w:t>
      </w:r>
      <w:proofErr w:type="spellStart"/>
      <w:r w:rsidR="00C444FE">
        <w:t>Nethys</w:t>
      </w:r>
      <w:proofErr w:type="spellEnd"/>
      <w:r w:rsidR="00C444FE">
        <w:t xml:space="preserve"> </w:t>
      </w:r>
      <w:r w:rsidR="00E1035A">
        <w:t>met fin à son raccordement afin de garantir la qualité de service d'autres clients.</w:t>
      </w:r>
    </w:p>
    <w:p w14:paraId="051DD549" w14:textId="257E74C6" w:rsidR="00093F7F" w:rsidRDefault="00093F7F" w:rsidP="00F71541">
      <w:pPr>
        <w:pStyle w:val="Opmaakprofiel1"/>
      </w:pPr>
      <w:r>
        <w:t xml:space="preserve">Le délai d'implémentation du </w:t>
      </w:r>
      <w:r w:rsidR="00D03589">
        <w:t>« </w:t>
      </w:r>
      <w:r>
        <w:t>Single Visit</w:t>
      </w:r>
      <w:r w:rsidR="00D03589">
        <w:t> »</w:t>
      </w:r>
      <w:r>
        <w:t xml:space="preserve"> dépend du cycle de release IT de </w:t>
      </w:r>
      <w:proofErr w:type="spellStart"/>
      <w:r w:rsidR="00C444FE">
        <w:t>Nethys</w:t>
      </w:r>
      <w:proofErr w:type="spellEnd"/>
      <w:r>
        <w:t xml:space="preserve">, mais vu l'importance du « Single Visit » dans la réussite du déploiement des services des bénéficiaires, il mérite, selon </w:t>
      </w:r>
      <w:r w:rsidR="00C444FE">
        <w:t>le MEDIENRAT</w:t>
      </w:r>
      <w:r>
        <w:t xml:space="preserve">, d'être prioritaire. </w:t>
      </w:r>
      <w:r w:rsidR="00C444FE">
        <w:t>Le MEDIENRAT</w:t>
      </w:r>
      <w:r>
        <w:t xml:space="preserve"> s'assurera dès lors que le </w:t>
      </w:r>
      <w:r w:rsidR="00D03589">
        <w:t>« </w:t>
      </w:r>
      <w:r>
        <w:t>Single Visit</w:t>
      </w:r>
      <w:r w:rsidR="00D03589">
        <w:t> »</w:t>
      </w:r>
      <w:r>
        <w:t xml:space="preserve"> fasse partie de la prochaine release IT, une fois la description des exigences nécessaires finalisée. Les timings, qui font partie d'un tel cycle de release IT, seront eux aussi contrôlés par </w:t>
      </w:r>
      <w:r w:rsidR="00C444FE">
        <w:t>le MEDIENRAT</w:t>
      </w:r>
      <w:r>
        <w:t>.</w:t>
      </w:r>
    </w:p>
    <w:p w14:paraId="051DD54A" w14:textId="1DC404B8" w:rsidR="00093F7F" w:rsidRPr="00093F7F" w:rsidRDefault="00093F7F" w:rsidP="00F71541">
      <w:pPr>
        <w:pStyle w:val="Opmaakprofiel1"/>
      </w:pPr>
      <w:r>
        <w:t xml:space="preserve">Conformément à la décision du 11 décembre 2013, les coûts de développement du Single Visit font partie des coûts d'implémentation, ce qui fait que ceux-ci peuvent être partiellement récupérés par </w:t>
      </w:r>
      <w:proofErr w:type="spellStart"/>
      <w:r w:rsidR="00C444FE">
        <w:t>Nethys</w:t>
      </w:r>
      <w:proofErr w:type="spellEnd"/>
      <w:r w:rsidR="00C444FE">
        <w:t xml:space="preserve"> </w:t>
      </w:r>
      <w:r>
        <w:t>via les montants mensuels.</w:t>
      </w:r>
    </w:p>
    <w:p w14:paraId="051DD54B" w14:textId="77777777" w:rsidR="00881FFF" w:rsidRDefault="00881FFF" w:rsidP="00881FFF">
      <w:pPr>
        <w:pStyle w:val="berschrift2"/>
      </w:pPr>
      <w:bookmarkStart w:id="32" w:name="_Toc422491257"/>
      <w:bookmarkStart w:id="33" w:name="_Toc430001810"/>
      <w:r>
        <w:t>Conclusion</w:t>
      </w:r>
      <w:bookmarkEnd w:id="32"/>
      <w:bookmarkEnd w:id="33"/>
    </w:p>
    <w:p w14:paraId="0237E106" w14:textId="088044DB" w:rsidR="00D03589" w:rsidRDefault="00C444FE" w:rsidP="00C03298">
      <w:pPr>
        <w:pStyle w:val="Opmaakprofiel1"/>
      </w:pPr>
      <w:r>
        <w:t>Le MEDIENRAT</w:t>
      </w:r>
      <w:r w:rsidR="00C03298">
        <w:t xml:space="preserve"> a dressé une série de points dans son </w:t>
      </w:r>
      <w:r w:rsidR="008003B5">
        <w:t>analyse</w:t>
      </w:r>
      <w:r w:rsidR="00C03298">
        <w:t xml:space="preserve"> qui doivent être précisés dans le cadre de la poursuite de l'implémentation du </w:t>
      </w:r>
      <w:r w:rsidR="00D03589">
        <w:t>« </w:t>
      </w:r>
      <w:r w:rsidR="00C03298">
        <w:t>Single Visit</w:t>
      </w:r>
      <w:r w:rsidR="00D03589">
        <w:t> », comme par exemple :</w:t>
      </w:r>
    </w:p>
    <w:p w14:paraId="1B37E973" w14:textId="0D4221F0" w:rsidR="00307A4D" w:rsidRDefault="00307A4D" w:rsidP="00810CD6">
      <w:pPr>
        <w:pStyle w:val="NormalNSIndent"/>
        <w:numPr>
          <w:ilvl w:val="0"/>
          <w:numId w:val="43"/>
        </w:numPr>
        <w:spacing w:line="360" w:lineRule="auto"/>
      </w:pPr>
      <w:r>
        <w:t xml:space="preserve">La </w:t>
      </w:r>
      <w:r w:rsidRPr="00307A4D">
        <w:t xml:space="preserve">formation supplémentaire </w:t>
      </w:r>
      <w:r>
        <w:t>et le moment des examens de certifications suite à « </w:t>
      </w:r>
      <w:r w:rsidR="00364476">
        <w:t>S</w:t>
      </w:r>
      <w:r>
        <w:t xml:space="preserve">ingle </w:t>
      </w:r>
      <w:r w:rsidR="00364476">
        <w:t>V</w:t>
      </w:r>
      <w:r>
        <w:t>isit »</w:t>
      </w:r>
      <w:r w:rsidR="00364476">
        <w:t>.</w:t>
      </w:r>
    </w:p>
    <w:p w14:paraId="48B56C19" w14:textId="58009AE4" w:rsidR="00307A4D" w:rsidRDefault="00307A4D" w:rsidP="00810CD6">
      <w:pPr>
        <w:pStyle w:val="NormalNSIndent"/>
        <w:numPr>
          <w:ilvl w:val="0"/>
          <w:numId w:val="43"/>
        </w:numPr>
        <w:spacing w:line="360" w:lineRule="auto"/>
      </w:pPr>
      <w:r>
        <w:t>L’établissement d’un processus pour une intervention commune avec les délais correspondants</w:t>
      </w:r>
      <w:r w:rsidR="00364476">
        <w:t>.</w:t>
      </w:r>
    </w:p>
    <w:p w14:paraId="051DD54C" w14:textId="579A3CAF" w:rsidR="00C03298" w:rsidRDefault="00364476" w:rsidP="00810CD6">
      <w:pPr>
        <w:pStyle w:val="NormalNSIndent"/>
        <w:numPr>
          <w:ilvl w:val="0"/>
          <w:numId w:val="43"/>
        </w:numPr>
        <w:spacing w:line="360" w:lineRule="auto"/>
      </w:pPr>
      <w:r>
        <w:t>Tous les délais, liés à l’installation du TAP.</w:t>
      </w:r>
    </w:p>
    <w:p w14:paraId="637F1D3C" w14:textId="0AB4B99C" w:rsidR="00364476" w:rsidRPr="00364476" w:rsidRDefault="00364476" w:rsidP="00810CD6">
      <w:pPr>
        <w:pStyle w:val="Listenabsatz"/>
        <w:numPr>
          <w:ilvl w:val="0"/>
          <w:numId w:val="43"/>
        </w:numPr>
        <w:spacing w:line="360" w:lineRule="auto"/>
      </w:pPr>
      <w:r>
        <w:t xml:space="preserve">La </w:t>
      </w:r>
      <w:r w:rsidRPr="00364476">
        <w:t xml:space="preserve">longueur </w:t>
      </w:r>
      <w:r>
        <w:t>requise du</w:t>
      </w:r>
      <w:r w:rsidRPr="00364476">
        <w:t xml:space="preserve"> drop cable</w:t>
      </w:r>
      <w:r>
        <w:t>, les</w:t>
      </w:r>
      <w:r w:rsidRPr="00364476">
        <w:t xml:space="preserve"> mesures </w:t>
      </w:r>
      <w:r>
        <w:t>nécessaires et le transport de ces données.</w:t>
      </w:r>
    </w:p>
    <w:p w14:paraId="356C3B9D" w14:textId="472464FE" w:rsidR="00364476" w:rsidRDefault="00364476" w:rsidP="00810CD6">
      <w:pPr>
        <w:pStyle w:val="NormalNSIndent"/>
        <w:numPr>
          <w:ilvl w:val="0"/>
          <w:numId w:val="43"/>
        </w:numPr>
        <w:spacing w:line="360" w:lineRule="auto"/>
      </w:pPr>
      <w:r>
        <w:t>Un délai de notification d’une heure en cas d’une fermeture d’urgence</w:t>
      </w:r>
    </w:p>
    <w:p w14:paraId="3325AB2B" w14:textId="76C24CB0" w:rsidR="00364476" w:rsidRPr="00C03298" w:rsidRDefault="00364476" w:rsidP="00810CD6">
      <w:pPr>
        <w:pStyle w:val="NormalNSIndent"/>
        <w:numPr>
          <w:ilvl w:val="0"/>
          <w:numId w:val="43"/>
        </w:numPr>
        <w:spacing w:line="360" w:lineRule="auto"/>
      </w:pPr>
      <w:r>
        <w:lastRenderedPageBreak/>
        <w:t>Les délais et coûts de l’implémentation de « Single Visit »</w:t>
      </w:r>
    </w:p>
    <w:p w14:paraId="051DD54D" w14:textId="77777777" w:rsidR="00494A77" w:rsidRDefault="00881FFF" w:rsidP="001C027F">
      <w:pPr>
        <w:pStyle w:val="berschrift1"/>
      </w:pPr>
      <w:bookmarkStart w:id="34" w:name="_Toc422491258"/>
      <w:bookmarkStart w:id="35" w:name="_Toc430001811"/>
      <w:r>
        <w:lastRenderedPageBreak/>
        <w:t>Courbe d'apprentissage, SLA et prévisions</w:t>
      </w:r>
      <w:bookmarkEnd w:id="34"/>
      <w:bookmarkEnd w:id="35"/>
    </w:p>
    <w:p w14:paraId="051DD54E" w14:textId="77777777" w:rsidR="003C018D" w:rsidRDefault="003C018D" w:rsidP="003C018D">
      <w:pPr>
        <w:pStyle w:val="berschrift2"/>
      </w:pPr>
      <w:bookmarkStart w:id="36" w:name="_Toc422491259"/>
      <w:bookmarkStart w:id="37" w:name="_Toc430001812"/>
      <w:r>
        <w:t>Introduction</w:t>
      </w:r>
      <w:bookmarkEnd w:id="36"/>
      <w:bookmarkEnd w:id="37"/>
    </w:p>
    <w:p w14:paraId="051DD54F" w14:textId="77777777" w:rsidR="00776992" w:rsidRDefault="00267B5B" w:rsidP="003C018D">
      <w:pPr>
        <w:pStyle w:val="Opmaakprofiel1"/>
      </w:pPr>
      <w:r>
        <w:t>Il existe, par rapport à certains paragraphes</w:t>
      </w:r>
      <w:r>
        <w:rPr>
          <w:rStyle w:val="Funotenzeichen"/>
        </w:rPr>
        <w:footnoteReference w:id="19"/>
      </w:r>
      <w:r>
        <w:t xml:space="preserve"> de la Décision de la CRC du 3 septembre 2013, une discussion entre les acteurs du marché en ce qui concerne le lien entre la courbe d'apprentissage, les SLA et KPI et le mécanisme de prévision. </w:t>
      </w:r>
    </w:p>
    <w:p w14:paraId="051DD550" w14:textId="58BA4EDF" w:rsidR="00776992" w:rsidRDefault="00776992" w:rsidP="003C018D">
      <w:pPr>
        <w:pStyle w:val="Opmaakprofiel1"/>
      </w:pPr>
      <w:r>
        <w:t xml:space="preserve">Les SLA et KPI décrivent les valeurs indicatives que doit viser </w:t>
      </w:r>
      <w:proofErr w:type="spellStart"/>
      <w:r w:rsidR="00C444FE">
        <w:t>Nethys</w:t>
      </w:r>
      <w:proofErr w:type="spellEnd"/>
      <w:r w:rsidR="00C444FE">
        <w:t xml:space="preserve"> </w:t>
      </w:r>
      <w:r>
        <w:t>dans l'organisation de la procédure d'installation</w:t>
      </w:r>
      <w:r w:rsidR="00364476">
        <w:t xml:space="preserve"> et</w:t>
      </w:r>
      <w:r>
        <w:t xml:space="preserve"> de réparation. Ainsi, 80% des installations sans visites chez le client doivent par exemple être finalisées dans les 10 jours ouvrables. </w:t>
      </w:r>
    </w:p>
    <w:p w14:paraId="051DD551" w14:textId="5DD1DDFC" w:rsidR="00776992" w:rsidRDefault="00776992" w:rsidP="003C018D">
      <w:pPr>
        <w:pStyle w:val="Opmaakprofiel1"/>
      </w:pPr>
      <w:r>
        <w:t xml:space="preserve">Pour l'organisation de la capacité d'installation, il est important que </w:t>
      </w:r>
      <w:proofErr w:type="spellStart"/>
      <w:r w:rsidR="00C444FE">
        <w:t>Nethys</w:t>
      </w:r>
      <w:proofErr w:type="spellEnd"/>
      <w:r w:rsidR="00C444FE">
        <w:t xml:space="preserve"> </w:t>
      </w:r>
      <w:r>
        <w:t xml:space="preserve">ait un aperçu du nombre d'installations à venir. Les bénéficiaires établissent donc tous les mois une prévision du nombre d'installations attendues pour les six prochains mois. </w:t>
      </w:r>
      <w:proofErr w:type="spellStart"/>
      <w:r w:rsidR="00C444FE">
        <w:t>Nethys</w:t>
      </w:r>
      <w:proofErr w:type="spellEnd"/>
      <w:r w:rsidR="00C444FE">
        <w:t xml:space="preserve"> </w:t>
      </w:r>
      <w:r>
        <w:t>peut ainsi estimer la capacité d'installation nécessaire.</w:t>
      </w:r>
    </w:p>
    <w:p w14:paraId="051DD552" w14:textId="0059CBFF" w:rsidR="00674B7B" w:rsidRDefault="00674B7B" w:rsidP="003C018D">
      <w:pPr>
        <w:pStyle w:val="Opmaakprofiel1"/>
      </w:pPr>
      <w:r>
        <w:t xml:space="preserve">Étant donné que </w:t>
      </w:r>
      <w:proofErr w:type="spellStart"/>
      <w:r w:rsidR="00C444FE">
        <w:t>Nethys</w:t>
      </w:r>
      <w:proofErr w:type="spellEnd"/>
      <w:r w:rsidR="00C444FE">
        <w:t xml:space="preserve"> </w:t>
      </w:r>
      <w:r>
        <w:t>se trouve encore dans la phase de lancement de l'ouverture de son réseau et que l'on ne peut pas s'attendre à ce que ses procédures soient directement au point, elle bénéficie d'une courbe d'apprentissage de six mois pendant laquelle les SLA et KPI ne sont pas encore d'application. Cela signifie que les bénéficiaires ne peuvent pas encore prétendre à des compensations. Toutefois, cela ne veut pas dire que les SLA et KPI peuvent être ignorés.</w:t>
      </w:r>
    </w:p>
    <w:p w14:paraId="051DD553" w14:textId="13F5F4D4" w:rsidR="00776992" w:rsidRDefault="00674B7B" w:rsidP="003C018D">
      <w:pPr>
        <w:pStyle w:val="Opmaakprofiel1"/>
      </w:pPr>
      <w:r>
        <w:t xml:space="preserve">Les bénéficiaires bénéficient de la même courbe d'apprentissage mais en ce qui concerne les prévisions : pendant les six premiers mois, leurs prévisions ne sont pas contraignantes. Cela signifie que </w:t>
      </w:r>
      <w:proofErr w:type="spellStart"/>
      <w:r w:rsidR="00C444FE">
        <w:t>Nethys</w:t>
      </w:r>
      <w:proofErr w:type="spellEnd"/>
      <w:r w:rsidR="00C444FE">
        <w:t xml:space="preserve"> </w:t>
      </w:r>
      <w:r>
        <w:t>ne peut pas encore adapter leurs prévisions, même pas en cas de sérieuses divergences.</w:t>
      </w:r>
    </w:p>
    <w:p w14:paraId="051DD554" w14:textId="63EC49BB" w:rsidR="003C018D" w:rsidRDefault="00C444FE" w:rsidP="003C018D">
      <w:pPr>
        <w:pStyle w:val="Opmaakprofiel1"/>
      </w:pPr>
      <w:r>
        <w:t>Le MEDIENRAT</w:t>
      </w:r>
      <w:r w:rsidR="00267B5B">
        <w:t xml:space="preserve"> souhaite approfondir les points suivants.</w:t>
      </w:r>
    </w:p>
    <w:p w14:paraId="4445FE77" w14:textId="77777777" w:rsidR="00364476" w:rsidRDefault="00364476" w:rsidP="00364476">
      <w:pPr>
        <w:pStyle w:val="Opmaakprofiel2"/>
        <w:numPr>
          <w:ilvl w:val="1"/>
          <w:numId w:val="44"/>
        </w:numPr>
      </w:pPr>
      <w:r>
        <w:t>Existe-t-il une différence dans la courbe d'apprentissage entre les SLA et les prévisions ?</w:t>
      </w:r>
    </w:p>
    <w:p w14:paraId="051DD555" w14:textId="77777777" w:rsidR="000D7114" w:rsidRDefault="000D7114" w:rsidP="00810CD6">
      <w:pPr>
        <w:pStyle w:val="Opmaakprofiel2"/>
        <w:numPr>
          <w:ilvl w:val="1"/>
          <w:numId w:val="44"/>
        </w:numPr>
      </w:pPr>
      <w:r>
        <w:t>Quand la courbe d'apprentissage débute-t-elle ?</w:t>
      </w:r>
    </w:p>
    <w:p w14:paraId="051DD558" w14:textId="66C24B2E" w:rsidR="003C018D" w:rsidRDefault="008003B5" w:rsidP="003C018D">
      <w:pPr>
        <w:pStyle w:val="berschrift2"/>
      </w:pPr>
      <w:bookmarkStart w:id="38" w:name="_Toc430001813"/>
      <w:r>
        <w:lastRenderedPageBreak/>
        <w:t>Analyse</w:t>
      </w:r>
      <w:bookmarkEnd w:id="38"/>
    </w:p>
    <w:p w14:paraId="051DD559" w14:textId="715760B0" w:rsidR="00EB71DC" w:rsidRDefault="00364476" w:rsidP="00A3225F">
      <w:pPr>
        <w:pStyle w:val="Opmaakprofiel1"/>
      </w:pPr>
      <w:r w:rsidRPr="00810CD6">
        <w:rPr>
          <w:b/>
        </w:rPr>
        <w:t>En ce qui concerne les courbes d’apprentissage séparé</w:t>
      </w:r>
      <w:r>
        <w:rPr>
          <w:b/>
        </w:rPr>
        <w:t>e</w:t>
      </w:r>
      <w:r w:rsidRPr="00810CD6">
        <w:rPr>
          <w:b/>
        </w:rPr>
        <w:t>s :</w:t>
      </w:r>
      <w:r>
        <w:t xml:space="preserve"> </w:t>
      </w:r>
      <w:r w:rsidR="00A3225F">
        <w:t>Au § </w:t>
      </w:r>
      <w:r w:rsidR="00C444FE">
        <w:t>371</w:t>
      </w:r>
      <w:r w:rsidR="00A3225F">
        <w:t xml:space="preserve"> de la décision CRC</w:t>
      </w:r>
      <w:r w:rsidR="00A3225F">
        <w:rPr>
          <w:rStyle w:val="Funotenzeichen"/>
        </w:rPr>
        <w:footnoteReference w:id="20"/>
      </w:r>
      <w:r w:rsidR="00A3225F">
        <w:t xml:space="preserve">, </w:t>
      </w:r>
      <w:r w:rsidR="00C444FE">
        <w:t>le MEDIENRAT</w:t>
      </w:r>
      <w:r w:rsidR="00A3225F">
        <w:t xml:space="preserve"> a reconnu l'importance d'un système de prévision</w:t>
      </w:r>
      <w:r w:rsidR="00A3225F">
        <w:rPr>
          <w:rStyle w:val="Funotenzeichen"/>
        </w:rPr>
        <w:footnoteReference w:id="21"/>
      </w:r>
      <w:r w:rsidR="00A3225F">
        <w:t xml:space="preserve"> : </w:t>
      </w:r>
      <w:r w:rsidR="00A3225F">
        <w:rPr>
          <w:i/>
        </w:rPr>
        <w:t>« Un tel système de prévision peut s’avérer utile pour attribuer correctement la répartition du travail et pour octroyer une garantie sur la prestation de services. »</w:t>
      </w:r>
      <w:r w:rsidR="00A3225F">
        <w:t xml:space="preserve"> En d'autres termes, pour veiller à ce que les SLA et KPI puissent être respectés par </w:t>
      </w:r>
      <w:proofErr w:type="spellStart"/>
      <w:r w:rsidR="00C444FE">
        <w:t>Nethys</w:t>
      </w:r>
      <w:proofErr w:type="spellEnd"/>
      <w:r w:rsidR="00A3225F">
        <w:t xml:space="preserve">, il est </w:t>
      </w:r>
      <w:r>
        <w:t xml:space="preserve">raisonnable </w:t>
      </w:r>
      <w:r w:rsidR="00A3225F">
        <w:t xml:space="preserve">que les bénéficiaires donnent à </w:t>
      </w:r>
      <w:proofErr w:type="spellStart"/>
      <w:r w:rsidR="00C444FE">
        <w:t>Nethys</w:t>
      </w:r>
      <w:proofErr w:type="spellEnd"/>
      <w:r w:rsidR="00C444FE">
        <w:t xml:space="preserve"> </w:t>
      </w:r>
      <w:r w:rsidR="00A3225F">
        <w:t xml:space="preserve">un aperçu du nombre de commandes qu'ils attendent dans une période donnée. L'on ne peut pas s'attendre à ce que </w:t>
      </w:r>
      <w:proofErr w:type="spellStart"/>
      <w:r w:rsidR="00C444FE">
        <w:t>Nethys</w:t>
      </w:r>
      <w:proofErr w:type="spellEnd"/>
      <w:r w:rsidR="00C444FE">
        <w:t xml:space="preserve"> </w:t>
      </w:r>
      <w:r w:rsidR="00A3225F">
        <w:t xml:space="preserve">forme et réserve une capacité d'installation (coûteuse) permanente, sous la forme d'installateurs et de personnel, sans savoir quand et dans quelle mesure elle devra faire appel à cette capacité. </w:t>
      </w:r>
    </w:p>
    <w:p w14:paraId="051DD55A" w14:textId="77777777" w:rsidR="003A767F" w:rsidRDefault="003C118E" w:rsidP="00A3225F">
      <w:pPr>
        <w:pStyle w:val="Opmaakprofiel1"/>
      </w:pPr>
      <w:r>
        <w:t>Comme les SLA ne peuvent pas être respectés sans les prévisions nécessaires, les prévisions de volumes et les SLA sont liés dans la pratique.</w:t>
      </w:r>
    </w:p>
    <w:p w14:paraId="051DD55B" w14:textId="158F8BCE" w:rsidR="00693F07" w:rsidRDefault="00693F07" w:rsidP="00693F07">
      <w:pPr>
        <w:pStyle w:val="Opmaakprofiel1"/>
      </w:pPr>
      <w:r>
        <w:t xml:space="preserve">Au § </w:t>
      </w:r>
      <w:r w:rsidR="00C444FE">
        <w:t>397</w:t>
      </w:r>
      <w:r>
        <w:t xml:space="preserve"> de la Décision de la CRC</w:t>
      </w:r>
      <w:r>
        <w:rPr>
          <w:rStyle w:val="Funotenzeichen"/>
        </w:rPr>
        <w:footnoteReference w:id="22"/>
      </w:r>
      <w:r>
        <w:t xml:space="preserve">, </w:t>
      </w:r>
      <w:r w:rsidR="00C444FE">
        <w:t>le MEDIENRAT</w:t>
      </w:r>
      <w:r>
        <w:t xml:space="preserve"> conclut </w:t>
      </w:r>
      <w:r>
        <w:rPr>
          <w:i/>
        </w:rPr>
        <w:t xml:space="preserve">« Pour la phase initiale, pendant les 6 premiers mois qui suivent le déploiement des premières commandes </w:t>
      </w:r>
      <w:proofErr w:type="spellStart"/>
      <w:r>
        <w:rPr>
          <w:i/>
        </w:rPr>
        <w:t>wholesale</w:t>
      </w:r>
      <w:proofErr w:type="spellEnd"/>
      <w:r>
        <w:rPr>
          <w:i/>
        </w:rPr>
        <w:t xml:space="preserve">, </w:t>
      </w:r>
      <w:r w:rsidR="00C444FE">
        <w:rPr>
          <w:i/>
        </w:rPr>
        <w:t>le MEDIENRAT</w:t>
      </w:r>
      <w:r>
        <w:rPr>
          <w:i/>
        </w:rPr>
        <w:t xml:space="preserve"> estime qu’il est raisonnable d’utiliser un système de prévision plus souple. »</w:t>
      </w:r>
      <w:r>
        <w:t xml:space="preserve"> Cet assouplissement donne à toutes les parties concernées l'occasion de suivre la courbe d'apprentissage afin d'arriver à un processus fluide dans la procédure d'installation : à </w:t>
      </w:r>
      <w:proofErr w:type="spellStart"/>
      <w:r w:rsidR="00C444FE">
        <w:t>Nethys</w:t>
      </w:r>
      <w:proofErr w:type="spellEnd"/>
      <w:r>
        <w:t xml:space="preserve">, afin de développer, tester et déployer un processus d'installation bien huilé, sans devoir en supporter les conséquences financières </w:t>
      </w:r>
      <w:r w:rsidR="00707DDA">
        <w:t xml:space="preserve">par un dépassement des valeurs SLA </w:t>
      </w:r>
      <w:r>
        <w:t xml:space="preserve">. Pour les bénéficiaires, pour associer au processus de prévision le succès de leurs campagnes marketing et le comportement de leurs clients, nouveaux et anciens, sans courir le risque que leurs prévisions soient adaptées par </w:t>
      </w:r>
      <w:proofErr w:type="spellStart"/>
      <w:r w:rsidR="00C444FE">
        <w:t>Nethys</w:t>
      </w:r>
      <w:proofErr w:type="spellEnd"/>
      <w:r>
        <w:t>.</w:t>
      </w:r>
    </w:p>
    <w:p w14:paraId="051DD55C" w14:textId="62E31EAA" w:rsidR="00BD27B0" w:rsidRDefault="00410F7C" w:rsidP="00CB069F">
      <w:pPr>
        <w:pStyle w:val="Opmaakprofiel1"/>
      </w:pPr>
      <w:r>
        <w:t>Vu le lien qui existe entre prévisions et SLA, il est logique qu</w:t>
      </w:r>
      <w:r w:rsidR="001C3BF6">
        <w:t xml:space="preserve">e cet </w:t>
      </w:r>
      <w:r>
        <w:t xml:space="preserve">assouplissement </w:t>
      </w:r>
      <w:r w:rsidR="001C3BF6">
        <w:t xml:space="preserve">à propos des prévisions </w:t>
      </w:r>
      <w:r>
        <w:t xml:space="preserve">s'applique également aux SLA. </w:t>
      </w:r>
      <w:r w:rsidR="001C3BF6">
        <w:t>L</w:t>
      </w:r>
      <w:r>
        <w:t>e lien en</w:t>
      </w:r>
      <w:r w:rsidR="001C3BF6">
        <w:t>t</w:t>
      </w:r>
      <w:r>
        <w:t>re les courbes d'apprentissage pour les SLA et le mécanisme de prévision a été décrit comme suit au § 3</w:t>
      </w:r>
      <w:r w:rsidR="00C444FE">
        <w:t>73</w:t>
      </w:r>
      <w:r>
        <w:t xml:space="preserve"> de la Décision de la CRC du 3 septembre 2013</w:t>
      </w:r>
      <w:r w:rsidR="001C3BF6">
        <w:t xml:space="preserve"> concernant l’offre référence de </w:t>
      </w:r>
      <w:proofErr w:type="spellStart"/>
      <w:r w:rsidR="00C444FE">
        <w:t>Nethys</w:t>
      </w:r>
      <w:proofErr w:type="spellEnd"/>
      <w:r w:rsidR="00C444FE">
        <w:t xml:space="preserve"> </w:t>
      </w:r>
      <w:r>
        <w:t xml:space="preserve">: </w:t>
      </w:r>
    </w:p>
    <w:p w14:paraId="051DD55D" w14:textId="5ECB925E" w:rsidR="00BD27B0" w:rsidRDefault="00CB069F" w:rsidP="00C444FE">
      <w:pPr>
        <w:pStyle w:val="Opmaakprofiel1"/>
        <w:numPr>
          <w:ilvl w:val="0"/>
          <w:numId w:val="0"/>
        </w:numPr>
        <w:ind w:left="1560"/>
        <w:jc w:val="left"/>
      </w:pPr>
      <w:r>
        <w:rPr>
          <w:i/>
        </w:rPr>
        <w:lastRenderedPageBreak/>
        <w:t xml:space="preserve">« Cela s'ajoute à la réglementation relative aux SLA où </w:t>
      </w:r>
      <w:proofErr w:type="spellStart"/>
      <w:r w:rsidR="00C444FE" w:rsidRPr="00C444FE">
        <w:rPr>
          <w:i/>
        </w:rPr>
        <w:t>Nethys</w:t>
      </w:r>
      <w:proofErr w:type="spellEnd"/>
      <w:r w:rsidR="00C444FE">
        <w:t xml:space="preserve"> </w:t>
      </w:r>
      <w:r>
        <w:rPr>
          <w:i/>
        </w:rPr>
        <w:t>doit respecter sur une base best effort ses obligations SLA pendant les six premiers mois. »</w:t>
      </w:r>
    </w:p>
    <w:p w14:paraId="051DD55E" w14:textId="346550AF" w:rsidR="00CB069F" w:rsidRDefault="000E20C9" w:rsidP="00BD27B0">
      <w:pPr>
        <w:pStyle w:val="Opmaakprofiel1"/>
      </w:pPr>
      <w:r>
        <w:t xml:space="preserve">Une éventuelle différenciation entre une courbe d'apprentissage distincte pour l'application des SLA et une pour les prévisions peut engendrer une situation où le bénéficiaire réalise des prévisions non contraignantes, alors que </w:t>
      </w:r>
      <w:proofErr w:type="spellStart"/>
      <w:r w:rsidR="00C444FE">
        <w:t>Nethys</w:t>
      </w:r>
      <w:proofErr w:type="spellEnd"/>
      <w:r w:rsidR="00C444FE">
        <w:t xml:space="preserve"> </w:t>
      </w:r>
      <w:r>
        <w:t xml:space="preserve">doit quant à elle respecter les SLA obligatoires. Un tel scénario crée un déséquilibre entre </w:t>
      </w:r>
      <w:proofErr w:type="spellStart"/>
      <w:r w:rsidR="00C444FE">
        <w:t>Nethys</w:t>
      </w:r>
      <w:proofErr w:type="spellEnd"/>
      <w:r w:rsidR="00C444FE">
        <w:t xml:space="preserve"> </w:t>
      </w:r>
      <w:r>
        <w:t>et le bénéficiaire. En bref, il n'y a pas d'autre option que l'existence d'une seule courbe d'apprentissage valable en même temps pour les SLA et les prévisions.</w:t>
      </w:r>
    </w:p>
    <w:p w14:paraId="051DD55F" w14:textId="61F94AFE" w:rsidR="002449A7" w:rsidRDefault="00673537" w:rsidP="002449A7">
      <w:pPr>
        <w:pStyle w:val="Opmaakprofiel1"/>
      </w:pPr>
      <w:r w:rsidRPr="00810CD6">
        <w:rPr>
          <w:b/>
        </w:rPr>
        <w:t>En ce qui concerne le début de la courbe d'apprentissage</w:t>
      </w:r>
      <w:r>
        <w:t> : l</w:t>
      </w:r>
      <w:r w:rsidR="00731978">
        <w:t xml:space="preserve">e paragraphe </w:t>
      </w:r>
      <w:r w:rsidR="00C444FE">
        <w:t>293</w:t>
      </w:r>
      <w:r w:rsidR="00731978">
        <w:t xml:space="preserve"> de la Décision de la CRC du 3 septembre 2013 définit le début de la courbe d'apprentissage : </w:t>
      </w:r>
      <w:r w:rsidR="00731978">
        <w:rPr>
          <w:i/>
        </w:rPr>
        <w:t xml:space="preserve">« De manière plus spécifique, une courbe d’apprentissage de six mois est prévue, prenant effet au moment de la première commande de l’un des bénéficiaires lors de laquelle aucun SLA timer n’est d’application. » </w:t>
      </w:r>
      <w:r w:rsidR="00731978">
        <w:t xml:space="preserve">C'est surtout la disposition </w:t>
      </w:r>
      <w:r w:rsidR="00731978">
        <w:rPr>
          <w:i/>
        </w:rPr>
        <w:t>« au moment de la première commande »</w:t>
      </w:r>
      <w:r w:rsidR="00731978">
        <w:t xml:space="preserve"> qui a créé une certaine confusion parmi les parties du marché. On ne pouvait pas clairement établir si la courbe d'apprentissage débutait dès la toute première commande de gros ou dès le moment où le bénéficiaire se trouvait au-dessus du seuil de 150 commandes de gros par mois. En effet, conformément au § 404 de la Décision de la CRC</w:t>
      </w:r>
      <w:r w:rsidR="00A81BE2">
        <w:t xml:space="preserve"> du 3 septembre 2013</w:t>
      </w:r>
      <w:r w:rsidR="00731978">
        <w:t xml:space="preserve">, le bénéficiaire ne doit pas faire de prévisions s'il reste en-dessous du seuil de 150 lignes. En d'autres termes, en cas de lancement avec moins d'installations que 150 lignes, une courbe d'apprentissage a peu d'utilité parce que le bénéficiaire ne doit pas réaliser de prévisions. </w:t>
      </w:r>
    </w:p>
    <w:p w14:paraId="051DD560" w14:textId="3C0AAACA" w:rsidR="00ED1741" w:rsidRDefault="00C444FE" w:rsidP="002449A7">
      <w:pPr>
        <w:pStyle w:val="Opmaakprofiel1"/>
      </w:pPr>
      <w:r>
        <w:t>Le MEDIENRAT</w:t>
      </w:r>
      <w:r w:rsidR="00ED1741">
        <w:t xml:space="preserve"> explicite donc : la courbe d'apprentissage commence à la première commande « commerciale », où « commerciale » désigne le premier mois où le nombre de commandes dépasse le seuil de 150 lignes. C'est conforme avec le fait qu'une prévision n'est nécessaire qu'à partir de ce seuil de 150 lignes. </w:t>
      </w:r>
    </w:p>
    <w:p w14:paraId="051DD561" w14:textId="0ADE7D92" w:rsidR="003A767F" w:rsidRDefault="00ED1741" w:rsidP="002449A7">
      <w:pPr>
        <w:pStyle w:val="Opmaakprofiel1"/>
      </w:pPr>
      <w:r>
        <w:t xml:space="preserve">De plus, l'impact du service de gros en-dessous de ce seuil de 150 lignes, si minime par rapport au service de détail, est que ces installations semblent pouvoir être absorbées par les services de détail de </w:t>
      </w:r>
      <w:proofErr w:type="spellStart"/>
      <w:r w:rsidR="00C444FE">
        <w:t>Nethys</w:t>
      </w:r>
      <w:proofErr w:type="spellEnd"/>
      <w:r>
        <w:t xml:space="preserve">. En d'autres termes, selon </w:t>
      </w:r>
      <w:r w:rsidR="00C444FE">
        <w:t>le MEDIENRAT</w:t>
      </w:r>
      <w:r>
        <w:t xml:space="preserve">, ce nombre de 150 lignes forme la masse critique à partir de laquelle </w:t>
      </w:r>
      <w:proofErr w:type="spellStart"/>
      <w:r w:rsidR="00C444FE">
        <w:t>Nethys</w:t>
      </w:r>
      <w:proofErr w:type="spellEnd"/>
      <w:r w:rsidR="00C444FE">
        <w:t xml:space="preserve"> </w:t>
      </w:r>
      <w:r>
        <w:t>doit mettre en place un service de gros consacré afin de développer, de tester et d'implémenter dûment les procédures d'installation.</w:t>
      </w:r>
    </w:p>
    <w:p w14:paraId="051DD563" w14:textId="77777777" w:rsidR="003C018D" w:rsidRPr="003C018D" w:rsidRDefault="003C018D" w:rsidP="003C018D">
      <w:pPr>
        <w:pStyle w:val="berschrift2"/>
      </w:pPr>
      <w:bookmarkStart w:id="39" w:name="_Toc422491261"/>
      <w:bookmarkStart w:id="40" w:name="_Toc430001814"/>
      <w:r>
        <w:t>Conclusion</w:t>
      </w:r>
      <w:bookmarkEnd w:id="39"/>
      <w:bookmarkEnd w:id="40"/>
    </w:p>
    <w:p w14:paraId="051DD564" w14:textId="7C5D1FA6" w:rsidR="003C018D" w:rsidRDefault="003C018D" w:rsidP="003C018D">
      <w:pPr>
        <w:pStyle w:val="Opmaakprofiel1"/>
      </w:pPr>
      <w:r>
        <w:t>Les SLA et les prévisions sont liés : pas de prévisions</w:t>
      </w:r>
      <w:r w:rsidR="00533CFA">
        <w:t xml:space="preserve"> implique  </w:t>
      </w:r>
      <w:r>
        <w:t>pas de SLA.</w:t>
      </w:r>
    </w:p>
    <w:p w14:paraId="051DD565" w14:textId="77777777" w:rsidR="003C018D" w:rsidRDefault="003C018D" w:rsidP="003C018D">
      <w:pPr>
        <w:pStyle w:val="Opmaakprofiel1"/>
      </w:pPr>
      <w:r>
        <w:lastRenderedPageBreak/>
        <w:t xml:space="preserve">Vu le lien entre SLA et prévisions, les courbes d'apprentissage pour les SLA et pour les prévisions correspondent. </w:t>
      </w:r>
    </w:p>
    <w:p w14:paraId="051DD566" w14:textId="77777777" w:rsidR="003C018D" w:rsidRDefault="003C018D" w:rsidP="003C018D">
      <w:pPr>
        <w:pStyle w:val="Opmaakprofiel1"/>
      </w:pPr>
      <w:r>
        <w:t>La courbe d'apprentissage commence dès la première commande « commerciale », où « commerciale » désigne le premier mois où le nombre de commandes dépasse le seuil de 150 lignes.</w:t>
      </w:r>
    </w:p>
    <w:p w14:paraId="051DD567" w14:textId="77777777" w:rsidR="00F06194" w:rsidRDefault="00F06194" w:rsidP="00EB3744">
      <w:pPr>
        <w:pStyle w:val="berschrift1"/>
      </w:pPr>
      <w:bookmarkStart w:id="41" w:name="_Toc422491262"/>
      <w:bookmarkStart w:id="42" w:name="_Toc430001815"/>
      <w:r>
        <w:lastRenderedPageBreak/>
        <w:t>Letter of authority</w:t>
      </w:r>
      <w:bookmarkEnd w:id="41"/>
      <w:bookmarkEnd w:id="42"/>
    </w:p>
    <w:p w14:paraId="051DD568" w14:textId="77777777" w:rsidR="00F06194" w:rsidRDefault="00F06194" w:rsidP="00F06194">
      <w:pPr>
        <w:pStyle w:val="berschrift2"/>
      </w:pPr>
      <w:bookmarkStart w:id="43" w:name="_Toc422491263"/>
      <w:bookmarkStart w:id="44" w:name="_Toc430001816"/>
      <w:r>
        <w:t>Introduction</w:t>
      </w:r>
      <w:bookmarkEnd w:id="43"/>
      <w:bookmarkEnd w:id="44"/>
    </w:p>
    <w:p w14:paraId="051DD569" w14:textId="1CE78B86" w:rsidR="00F02697" w:rsidRDefault="00F02697" w:rsidP="00F02697">
      <w:pPr>
        <w:pStyle w:val="Opmaakprofiel1"/>
      </w:pPr>
      <w:r>
        <w:t>Mobistar a porté l'obligation d'une Letter of Authority</w:t>
      </w:r>
      <w:r>
        <w:rPr>
          <w:rStyle w:val="Funotenzeichen"/>
        </w:rPr>
        <w:footnoteReference w:id="23"/>
      </w:r>
      <w:r>
        <w:t xml:space="preserve"> (ci</w:t>
      </w:r>
      <w:r w:rsidR="00C444FE">
        <w:t>-après « LoA ») à l'attention du MEDIENRAT</w:t>
      </w:r>
      <w:r>
        <w:t xml:space="preserve">. Selon Mobistar, une LoA n'est obligatoire que s'il est mis fin à un service. Mais les câblo-opérateurs estiment qu'une LoA est nécessaire pour toute activation demandée. Mobistar argue toutefois que les clients finals sur un réseau câblé peuvent être en même temps clients chez Mobistar et </w:t>
      </w:r>
      <w:proofErr w:type="spellStart"/>
      <w:r w:rsidR="00C444FE">
        <w:t>Nethys</w:t>
      </w:r>
      <w:proofErr w:type="spellEnd"/>
      <w:r w:rsidR="00C444FE">
        <w:t xml:space="preserve"> </w:t>
      </w:r>
      <w:r>
        <w:t xml:space="preserve">pour les mêmes services, ce qui fait qu'une activation chez Mobistar ne doit pas forcément engendrer un arrêt chez </w:t>
      </w:r>
      <w:proofErr w:type="spellStart"/>
      <w:r w:rsidR="00C444FE">
        <w:t>Nethys</w:t>
      </w:r>
      <w:proofErr w:type="spellEnd"/>
      <w:r>
        <w:t xml:space="preserve">. En d'autres termes, tant que les clients finals ne souhaitent pas mettre fin à leurs services chez </w:t>
      </w:r>
      <w:proofErr w:type="spellStart"/>
      <w:r w:rsidR="00C444FE">
        <w:t>Nethys</w:t>
      </w:r>
      <w:proofErr w:type="spellEnd"/>
      <w:r>
        <w:t xml:space="preserve">, une </w:t>
      </w:r>
      <w:proofErr w:type="spellStart"/>
      <w:r>
        <w:t>LoA</w:t>
      </w:r>
      <w:proofErr w:type="spellEnd"/>
      <w:r>
        <w:t xml:space="preserve"> n'est pas nécessaire</w:t>
      </w:r>
      <w:r w:rsidR="00785754">
        <w:t xml:space="preserve"> (m</w:t>
      </w:r>
      <w:r>
        <w:t>ême s'ils souscrivent déjà à des services auprès de Mobistar.</w:t>
      </w:r>
      <w:r w:rsidR="00785754">
        <w:t>)</w:t>
      </w:r>
    </w:p>
    <w:p w14:paraId="051DD56A" w14:textId="30130D4B" w:rsidR="00F02697" w:rsidRPr="00F02697" w:rsidRDefault="00F02697" w:rsidP="00F02697">
      <w:pPr>
        <w:pStyle w:val="Opmaakprofiel1"/>
      </w:pPr>
      <w:r>
        <w:t xml:space="preserve">Dans son </w:t>
      </w:r>
      <w:r w:rsidR="008003B5">
        <w:t>analyse</w:t>
      </w:r>
      <w:r>
        <w:t xml:space="preserve">, Mobistar fait toutefois une exception pour les clients d'un service de téléphonie fixe, parce que, dans ce cas, une activation pour la téléphonie fixe chez Mobistar correspond effectivement à un arrêt de ce service chez </w:t>
      </w:r>
      <w:proofErr w:type="spellStart"/>
      <w:r w:rsidR="00C444FE">
        <w:t>Nethys</w:t>
      </w:r>
      <w:proofErr w:type="spellEnd"/>
      <w:r w:rsidR="00C444FE">
        <w:t xml:space="preserve"> </w:t>
      </w:r>
      <w:r>
        <w:t>et nécessite donc automatiquement une LoA.</w:t>
      </w:r>
    </w:p>
    <w:p w14:paraId="051DD56B" w14:textId="4471925E" w:rsidR="00F06194" w:rsidRPr="00F06194" w:rsidRDefault="008003B5" w:rsidP="00F06194">
      <w:pPr>
        <w:pStyle w:val="berschrift2"/>
      </w:pPr>
      <w:bookmarkStart w:id="45" w:name="_Toc430001817"/>
      <w:r>
        <w:t>Analyse</w:t>
      </w:r>
      <w:bookmarkEnd w:id="45"/>
    </w:p>
    <w:p w14:paraId="051DD56C" w14:textId="548A4D06" w:rsidR="00F06194" w:rsidRDefault="00F06194" w:rsidP="00F06194">
      <w:pPr>
        <w:pStyle w:val="Opmaakprofiel1"/>
      </w:pPr>
      <w:r>
        <w:t xml:space="preserve">La décision d'analyse de marché de 2011 stipule aux paragraphes </w:t>
      </w:r>
      <w:r w:rsidR="00C444FE">
        <w:t>648</w:t>
      </w:r>
      <w:r>
        <w:t>-</w:t>
      </w:r>
      <w:r w:rsidR="00C444FE">
        <w:t>649</w:t>
      </w:r>
      <w:r>
        <w:t> :</w:t>
      </w:r>
    </w:p>
    <w:p w14:paraId="051DD56D" w14:textId="251776DE" w:rsidR="00F06194" w:rsidRPr="00F06194" w:rsidRDefault="00F06194" w:rsidP="009D42DF">
      <w:pPr>
        <w:pStyle w:val="Opmaakprofiel1"/>
        <w:numPr>
          <w:ilvl w:val="0"/>
          <w:numId w:val="0"/>
        </w:numPr>
        <w:ind w:left="1560" w:right="237"/>
        <w:rPr>
          <w:i/>
        </w:rPr>
      </w:pPr>
      <w:r>
        <w:rPr>
          <w:i/>
        </w:rPr>
        <w:t>« </w:t>
      </w:r>
      <w:r w:rsidR="00C444FE">
        <w:rPr>
          <w:i/>
        </w:rPr>
        <w:t>648</w:t>
      </w:r>
      <w:r>
        <w:rPr>
          <w:i/>
        </w:rPr>
        <w:t xml:space="preserve"> L’opérateur alternatif devra disposer d’une autorisation du client final pour effectuer une demande de revente </w:t>
      </w:r>
      <w:r w:rsidR="00C444FE">
        <w:rPr>
          <w:i/>
        </w:rPr>
        <w:t>l’offre analogique</w:t>
      </w:r>
      <w:r>
        <w:rPr>
          <w:i/>
        </w:rPr>
        <w:t>.</w:t>
      </w:r>
      <w:r w:rsidR="00C444FE">
        <w:rPr>
          <w:i/>
        </w:rPr>
        <w:t xml:space="preserve"> Cette </w:t>
      </w:r>
      <w:r>
        <w:rPr>
          <w:i/>
        </w:rPr>
        <w:t>autorisation pourra être envoyé</w:t>
      </w:r>
      <w:r w:rsidR="00C444FE">
        <w:rPr>
          <w:i/>
        </w:rPr>
        <w:t>e</w:t>
      </w:r>
      <w:r>
        <w:rPr>
          <w:i/>
        </w:rPr>
        <w:t xml:space="preserve"> à l'opérateur alternatif</w:t>
      </w:r>
      <w:r w:rsidR="00C444FE">
        <w:rPr>
          <w:i/>
        </w:rPr>
        <w:t xml:space="preserve"> </w:t>
      </w:r>
      <w:r w:rsidR="00C444FE">
        <w:rPr>
          <w:i/>
        </w:rPr>
        <w:t>de manière électronique</w:t>
      </w:r>
      <w:r>
        <w:rPr>
          <w:i/>
        </w:rPr>
        <w:t xml:space="preserve"> (e-mail, inscription sur la page </w:t>
      </w:r>
      <w:r w:rsidR="00C444FE">
        <w:rPr>
          <w:i/>
        </w:rPr>
        <w:t>Web</w:t>
      </w:r>
      <w:r>
        <w:rPr>
          <w:i/>
        </w:rPr>
        <w:t xml:space="preserve"> de l’opérateur alternatif). Le formulaire d'autorisation devra être rédigé dans un langage clair et compréhensible pour l'utilisateur. » </w:t>
      </w:r>
    </w:p>
    <w:p w14:paraId="051DD56E" w14:textId="16980F6B" w:rsidR="00F06194" w:rsidRPr="00F06194" w:rsidRDefault="00C444FE" w:rsidP="009D42DF">
      <w:pPr>
        <w:pStyle w:val="Opmaakprofiel1"/>
        <w:numPr>
          <w:ilvl w:val="0"/>
          <w:numId w:val="0"/>
        </w:numPr>
        <w:ind w:left="1560" w:right="237"/>
        <w:rPr>
          <w:i/>
        </w:rPr>
      </w:pPr>
      <w:r>
        <w:rPr>
          <w:i/>
        </w:rPr>
        <w:t>649</w:t>
      </w:r>
      <w:r w:rsidR="00F06194">
        <w:rPr>
          <w:i/>
        </w:rPr>
        <w:t xml:space="preserve"> </w:t>
      </w:r>
      <w:r>
        <w:rPr>
          <w:i/>
        </w:rPr>
        <w:t>L’accord du client</w:t>
      </w:r>
      <w:r w:rsidR="00F06194">
        <w:rPr>
          <w:i/>
        </w:rPr>
        <w:t xml:space="preserve"> final doit être </w:t>
      </w:r>
      <w:r>
        <w:rPr>
          <w:i/>
        </w:rPr>
        <w:t>exprè</w:t>
      </w:r>
      <w:r w:rsidR="00F06194">
        <w:rPr>
          <w:i/>
        </w:rPr>
        <w:t xml:space="preserve">s et écrit ou </w:t>
      </w:r>
      <w:r>
        <w:rPr>
          <w:i/>
        </w:rPr>
        <w:t>donné</w:t>
      </w:r>
      <w:r w:rsidR="00F06194">
        <w:rPr>
          <w:i/>
        </w:rPr>
        <w:t xml:space="preserve"> sur </w:t>
      </w:r>
      <w:r>
        <w:rPr>
          <w:i/>
        </w:rPr>
        <w:t>un</w:t>
      </w:r>
      <w:r w:rsidR="00F06194">
        <w:rPr>
          <w:i/>
        </w:rPr>
        <w:t xml:space="preserve"> autre support durable. Permettre des activations orales ou </w:t>
      </w:r>
      <w:r w:rsidR="005315BB">
        <w:rPr>
          <w:i/>
        </w:rPr>
        <w:t xml:space="preserve">permettre </w:t>
      </w:r>
      <w:r w:rsidR="00F06194">
        <w:rPr>
          <w:i/>
        </w:rPr>
        <w:t xml:space="preserve">des activations sans garanties écrites quant à l’identification et information correcte de l’utilisateur final ou quant à l’obtention de l’accord exprès de l’utilisateur final </w:t>
      </w:r>
      <w:r w:rsidR="005315BB">
        <w:rPr>
          <w:i/>
        </w:rPr>
        <w:t>risquerait d’ouvrir</w:t>
      </w:r>
      <w:r w:rsidR="00F06194">
        <w:rPr>
          <w:i/>
        </w:rPr>
        <w:t xml:space="preserve"> la porte aux problèmes de </w:t>
      </w:r>
      <w:proofErr w:type="spellStart"/>
      <w:r w:rsidR="00F06194">
        <w:rPr>
          <w:i/>
        </w:rPr>
        <w:t>slamming</w:t>
      </w:r>
      <w:proofErr w:type="spellEnd"/>
      <w:r w:rsidR="00F06194">
        <w:rPr>
          <w:i/>
        </w:rPr>
        <w:t xml:space="preserve"> qui ont </w:t>
      </w:r>
      <w:r w:rsidR="005315BB">
        <w:rPr>
          <w:i/>
        </w:rPr>
        <w:t xml:space="preserve">connu un développement </w:t>
      </w:r>
      <w:r w:rsidR="00F06194">
        <w:rPr>
          <w:i/>
        </w:rPr>
        <w:t>considérable dans le passé en matière de CPS. »</w:t>
      </w:r>
    </w:p>
    <w:p w14:paraId="051DD572" w14:textId="77777777" w:rsidR="00F06194" w:rsidRDefault="00286254" w:rsidP="00F06194">
      <w:pPr>
        <w:pStyle w:val="Opmaakprofiel1"/>
      </w:pPr>
      <w:r>
        <w:lastRenderedPageBreak/>
        <w:t xml:space="preserve">Vu que Mobistar doit activer le client, il faut en déduire que le point de vue de Mobistar est correct : une LoA n'est nécessaire que quand le client demande à Mobistar de transférer ou de résilier un tel abonnement actuel, afin d'éviter tout slamming. </w:t>
      </w:r>
    </w:p>
    <w:p w14:paraId="051DD573" w14:textId="6DA39011" w:rsidR="00F06194" w:rsidRDefault="002B4067" w:rsidP="00F06194">
      <w:pPr>
        <w:pStyle w:val="Opmaakprofiel1"/>
      </w:pPr>
      <w:r>
        <w:t>L'</w:t>
      </w:r>
      <w:r>
        <w:rPr>
          <w:i/>
        </w:rPr>
        <w:t>« autorisation du client final »</w:t>
      </w:r>
      <w:r>
        <w:t xml:space="preserve"> du § </w:t>
      </w:r>
      <w:r w:rsidR="005315BB">
        <w:t>648</w:t>
      </w:r>
      <w:r>
        <w:t xml:space="preserve"> de la Décision de la CRC du 1er juillet 2011 porte sur le contrat entre le client final et Mobistar (ou plus généralement le bénéficiaire) dans lequel cette autorisation doit être donnée. Il n'est indiqué nulle part que l'opérateur PSM doit recevoir cette autorisation écrite.</w:t>
      </w:r>
    </w:p>
    <w:p w14:paraId="051DD574" w14:textId="77777777" w:rsidR="00F06194" w:rsidRDefault="00F06194" w:rsidP="00F06194">
      <w:pPr>
        <w:pStyle w:val="berschrift2"/>
      </w:pPr>
      <w:bookmarkStart w:id="46" w:name="_Toc422491265"/>
      <w:bookmarkStart w:id="47" w:name="_Toc430001818"/>
      <w:r>
        <w:t>Conclusion</w:t>
      </w:r>
      <w:bookmarkEnd w:id="46"/>
      <w:bookmarkEnd w:id="47"/>
    </w:p>
    <w:p w14:paraId="051DD575" w14:textId="1F77321E" w:rsidR="00F02697" w:rsidRDefault="00F02697" w:rsidP="00F02697">
      <w:pPr>
        <w:pStyle w:val="Opmaakprofiel1"/>
      </w:pPr>
      <w:r>
        <w:t xml:space="preserve">Les paragraphes de l'offre de référence qui s'appliquent à la LoA </w:t>
      </w:r>
      <w:r w:rsidR="0050490C">
        <w:t xml:space="preserve">doivent être </w:t>
      </w:r>
      <w:r>
        <w:t xml:space="preserve">adaptés </w:t>
      </w:r>
      <w:r w:rsidR="0050490C">
        <w:t>dans le sens qu’</w:t>
      </w:r>
      <w:r>
        <w:t>une LoA doit seulement être montrée lors de l'arrêt de services et non lors de leur activation.</w:t>
      </w:r>
    </w:p>
    <w:p w14:paraId="051DD576" w14:textId="500F6B11" w:rsidR="009965E7" w:rsidRPr="00F02697" w:rsidRDefault="009965E7" w:rsidP="00F02697">
      <w:pPr>
        <w:pStyle w:val="Opmaakprofiel1"/>
      </w:pPr>
      <w:r>
        <w:t xml:space="preserve">Comme il n'y a désormais plus d'obligation vis-à-vis des bénéficiaires d'informer </w:t>
      </w:r>
      <w:proofErr w:type="spellStart"/>
      <w:r w:rsidR="005315BB">
        <w:t>Nethys</w:t>
      </w:r>
      <w:proofErr w:type="spellEnd"/>
      <w:r>
        <w:t xml:space="preserve"> lorsqu'un client souscrit à leurs services, ce client final court le risque de continuer à payer, sans le savoir, deux abonnements : une fois pour le produit souhaité auprès du bénéficiaire et encore une fois auprès de </w:t>
      </w:r>
      <w:proofErr w:type="spellStart"/>
      <w:r w:rsidR="005315BB">
        <w:t>Nethys</w:t>
      </w:r>
      <w:proofErr w:type="spellEnd"/>
      <w:r>
        <w:t xml:space="preserve">. C'est pourquoi il est </w:t>
      </w:r>
      <w:r w:rsidR="0050490C">
        <w:t xml:space="preserve">nécessaire </w:t>
      </w:r>
      <w:r>
        <w:t xml:space="preserve">que les bénéficiaires indiquent clairement à leurs nouveaux clients qu'il n'est pas automatiquement mis fin à leurs services chez </w:t>
      </w:r>
      <w:proofErr w:type="spellStart"/>
      <w:r w:rsidR="005315BB">
        <w:t>Nethys</w:t>
      </w:r>
      <w:proofErr w:type="spellEnd"/>
      <w:r w:rsidR="005315BB">
        <w:t xml:space="preserve"> </w:t>
      </w:r>
      <w:r>
        <w:t xml:space="preserve">avec l'achat de leur nouvel abonnement. Et que, si le client le souhaite, le bénéficiaire peut effectivement mettre fin à ces services à une date donnée, moyennant la signature d'une LoA. </w:t>
      </w:r>
    </w:p>
    <w:p w14:paraId="051DD577" w14:textId="77777777" w:rsidR="0090305D" w:rsidRPr="00881FFF" w:rsidRDefault="00015AFD" w:rsidP="00EB3744">
      <w:pPr>
        <w:pStyle w:val="berschrift1"/>
      </w:pPr>
      <w:bookmarkStart w:id="48" w:name="_Toc422491266"/>
      <w:bookmarkStart w:id="49" w:name="_Toc430001819"/>
      <w:r>
        <w:lastRenderedPageBreak/>
        <w:t>Profils propres</w:t>
      </w:r>
      <w:bookmarkEnd w:id="48"/>
      <w:bookmarkEnd w:id="49"/>
    </w:p>
    <w:p w14:paraId="051DD578" w14:textId="77777777" w:rsidR="00015AFD" w:rsidRDefault="00015AFD" w:rsidP="00EB3744">
      <w:pPr>
        <w:pStyle w:val="berschrift2"/>
      </w:pPr>
      <w:bookmarkStart w:id="50" w:name="_Toc422491267"/>
      <w:bookmarkStart w:id="51" w:name="_Toc430001820"/>
      <w:r>
        <w:t>Introduction</w:t>
      </w:r>
      <w:bookmarkEnd w:id="50"/>
      <w:bookmarkEnd w:id="51"/>
    </w:p>
    <w:p w14:paraId="051DD579" w14:textId="48444BBA" w:rsidR="00015AFD" w:rsidRDefault="00015AFD" w:rsidP="00EB3744">
      <w:pPr>
        <w:pStyle w:val="Opmaakprofiel1"/>
      </w:pPr>
      <w:r>
        <w:t>Aux §§ 20</w:t>
      </w:r>
      <w:r w:rsidR="005315BB">
        <w:t>2</w:t>
      </w:r>
      <w:r>
        <w:t xml:space="preserve"> et 20</w:t>
      </w:r>
      <w:r w:rsidR="005315BB">
        <w:t>3</w:t>
      </w:r>
      <w:r>
        <w:t xml:space="preserve"> de la Décision de la CRC du 3 septembre 2013, </w:t>
      </w:r>
      <w:r w:rsidR="005315BB">
        <w:t>le MEDIENRAT</w:t>
      </w:r>
      <w:r>
        <w:t xml:space="preserve"> s'est prononcé sur les profils Internet qu'un bénéficiaire peut utiliser pour sa propre offre : </w:t>
      </w:r>
    </w:p>
    <w:p w14:paraId="5D81A0C1" w14:textId="77777777" w:rsidR="005315BB" w:rsidRPr="008D1435" w:rsidRDefault="00015AFD" w:rsidP="005315BB">
      <w:pPr>
        <w:ind w:left="1416"/>
        <w:rPr>
          <w:rFonts w:asciiTheme="majorHAnsi" w:hAnsiTheme="majorHAnsi" w:cs="Arial"/>
          <w:i/>
          <w:sz w:val="20"/>
          <w:szCs w:val="20"/>
          <w:lang w:val="nl-NL" w:eastAsia="de-DE" w:bidi="ar-SA"/>
        </w:rPr>
      </w:pPr>
      <w:r>
        <w:rPr>
          <w:i/>
        </w:rPr>
        <w:t>« </w:t>
      </w:r>
      <w:r w:rsidR="005315BB" w:rsidRPr="008D1435">
        <w:rPr>
          <w:rFonts w:asciiTheme="majorHAnsi" w:hAnsiTheme="majorHAnsi"/>
          <w:i/>
          <w:sz w:val="20"/>
          <w:szCs w:val="20"/>
          <w:lang w:val="nl-NL"/>
        </w:rPr>
        <w:t>« 202 [...]</w:t>
      </w:r>
      <w:r w:rsidR="005315BB" w:rsidRPr="008D1435">
        <w:rPr>
          <w:rFonts w:asciiTheme="majorHAnsi" w:hAnsiTheme="majorHAnsi" w:cs="Arial"/>
          <w:i/>
          <w:sz w:val="20"/>
          <w:szCs w:val="20"/>
          <w:lang w:val="nl-NL" w:eastAsia="de-DE" w:bidi="ar-SA"/>
        </w:rPr>
        <w:t xml:space="preserve">De MEDIENRAT beslist daarom dat elke begunstigde kan beschikken over twee eigen profielen en daarnaast extra profielen kan selecteren uit een pool van 5 gemeenschappelijke profielen, die gebaseerd zijn op alle bestaande </w:t>
      </w:r>
      <w:proofErr w:type="spellStart"/>
      <w:r w:rsidR="005315BB" w:rsidRPr="008D1435">
        <w:rPr>
          <w:rFonts w:asciiTheme="majorHAnsi" w:hAnsiTheme="majorHAnsi" w:cs="Arial"/>
          <w:i/>
          <w:sz w:val="20"/>
          <w:szCs w:val="20"/>
          <w:lang w:val="nl-NL" w:eastAsia="de-DE" w:bidi="ar-SA"/>
        </w:rPr>
        <w:t>retailprofielen</w:t>
      </w:r>
      <w:proofErr w:type="spellEnd"/>
      <w:r w:rsidR="005315BB" w:rsidRPr="008D1435">
        <w:rPr>
          <w:rFonts w:asciiTheme="majorHAnsi" w:hAnsiTheme="majorHAnsi" w:cs="Arial"/>
          <w:i/>
          <w:sz w:val="20"/>
          <w:szCs w:val="20"/>
          <w:lang w:val="nl-NL" w:eastAsia="de-DE" w:bidi="ar-SA"/>
        </w:rPr>
        <w:t xml:space="preserve"> van </w:t>
      </w:r>
      <w:proofErr w:type="spellStart"/>
      <w:r w:rsidR="005315BB" w:rsidRPr="008D1435">
        <w:rPr>
          <w:rFonts w:asciiTheme="majorHAnsi" w:hAnsiTheme="majorHAnsi" w:cs="Arial"/>
          <w:i/>
          <w:sz w:val="20"/>
          <w:szCs w:val="20"/>
          <w:lang w:val="nl-NL" w:eastAsia="de-DE" w:bidi="ar-SA"/>
        </w:rPr>
        <w:t>Tecteo</w:t>
      </w:r>
      <w:proofErr w:type="spellEnd"/>
      <w:r w:rsidR="005315BB" w:rsidRPr="008D1435">
        <w:rPr>
          <w:rFonts w:asciiTheme="majorHAnsi" w:hAnsiTheme="majorHAnsi" w:cs="Arial"/>
          <w:i/>
          <w:sz w:val="20"/>
          <w:szCs w:val="20"/>
          <w:lang w:val="nl-NL" w:eastAsia="de-DE" w:bidi="ar-SA"/>
        </w:rPr>
        <w:t xml:space="preserve"> (zowel de profielen die gecommercialiseerd worden als de historische).</w:t>
      </w:r>
    </w:p>
    <w:p w14:paraId="5100EDF8" w14:textId="77777777" w:rsidR="005315BB" w:rsidRPr="008D1435" w:rsidRDefault="005315BB" w:rsidP="005315BB">
      <w:pPr>
        <w:rPr>
          <w:rFonts w:asciiTheme="majorHAnsi" w:hAnsiTheme="majorHAnsi" w:cs="Arial"/>
          <w:i/>
          <w:sz w:val="20"/>
          <w:szCs w:val="20"/>
          <w:lang w:val="nl-NL" w:eastAsia="de-DE" w:bidi="ar-SA"/>
        </w:rPr>
      </w:pPr>
    </w:p>
    <w:p w14:paraId="051DD57B" w14:textId="2BB6257A" w:rsidR="00015AFD" w:rsidRDefault="005315BB" w:rsidP="005315BB">
      <w:pPr>
        <w:pStyle w:val="Opmaakprofiel1"/>
        <w:numPr>
          <w:ilvl w:val="0"/>
          <w:numId w:val="0"/>
        </w:numPr>
        <w:ind w:left="1560" w:right="521"/>
        <w:rPr>
          <w:i/>
        </w:rPr>
      </w:pPr>
      <w:r w:rsidRPr="001F3ACC">
        <w:rPr>
          <w:rFonts w:asciiTheme="majorHAnsi" w:hAnsiTheme="majorHAnsi" w:cs="Arial"/>
          <w:i/>
          <w:sz w:val="20"/>
          <w:szCs w:val="20"/>
          <w:lang w:eastAsia="de-DE" w:bidi="ar-SA"/>
        </w:rPr>
        <w:t xml:space="preserve">203. De MEDIENRAT </w:t>
      </w:r>
      <w:proofErr w:type="spellStart"/>
      <w:r w:rsidRPr="001F3ACC">
        <w:rPr>
          <w:rFonts w:asciiTheme="majorHAnsi" w:hAnsiTheme="majorHAnsi" w:cs="Arial"/>
          <w:i/>
          <w:sz w:val="20"/>
          <w:szCs w:val="20"/>
          <w:lang w:eastAsia="de-DE" w:bidi="ar-SA"/>
        </w:rPr>
        <w:t>benadrukt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opnieuw</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dat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Tecteo</w:t>
      </w:r>
      <w:proofErr w:type="spellEnd"/>
      <w:r w:rsidRPr="001F3ACC">
        <w:rPr>
          <w:rFonts w:asciiTheme="majorHAnsi" w:hAnsiTheme="majorHAnsi" w:cs="Arial"/>
          <w:i/>
          <w:sz w:val="20"/>
          <w:szCs w:val="20"/>
          <w:lang w:eastAsia="de-DE" w:bidi="ar-SA"/>
        </w:rPr>
        <w:t xml:space="preserve"> de </w:t>
      </w:r>
      <w:proofErr w:type="spellStart"/>
      <w:r w:rsidRPr="001F3ACC">
        <w:rPr>
          <w:rFonts w:asciiTheme="majorHAnsi" w:hAnsiTheme="majorHAnsi" w:cs="Arial"/>
          <w:i/>
          <w:sz w:val="20"/>
          <w:szCs w:val="20"/>
          <w:lang w:eastAsia="de-DE" w:bidi="ar-SA"/>
        </w:rPr>
        <w:t>gepaste</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notificatietermijnen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zoals</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opgelegd</w:t>
      </w:r>
      <w:proofErr w:type="spellEnd"/>
      <w:r w:rsidRPr="001F3ACC">
        <w:rPr>
          <w:rFonts w:asciiTheme="majorHAnsi" w:hAnsiTheme="majorHAnsi" w:cs="Arial"/>
          <w:i/>
          <w:sz w:val="20"/>
          <w:szCs w:val="20"/>
          <w:lang w:eastAsia="de-DE" w:bidi="ar-SA"/>
        </w:rPr>
        <w:t xml:space="preserve"> in de CRC-</w:t>
      </w:r>
      <w:proofErr w:type="spellStart"/>
      <w:r w:rsidRPr="001F3ACC">
        <w:rPr>
          <w:rFonts w:asciiTheme="majorHAnsi" w:hAnsiTheme="majorHAnsi" w:cs="Arial"/>
          <w:i/>
          <w:sz w:val="20"/>
          <w:szCs w:val="20"/>
          <w:lang w:eastAsia="de-DE" w:bidi="ar-SA"/>
        </w:rPr>
        <w:t>beslissing</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moet</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respecteren</w:t>
      </w:r>
      <w:proofErr w:type="spellEnd"/>
      <w:r w:rsidRPr="001F3ACC">
        <w:rPr>
          <w:rFonts w:asciiTheme="majorHAnsi" w:hAnsiTheme="majorHAnsi" w:cs="Arial"/>
          <w:i/>
          <w:sz w:val="20"/>
          <w:szCs w:val="20"/>
          <w:lang w:eastAsia="de-DE" w:bidi="ar-SA"/>
        </w:rPr>
        <w:t xml:space="preserve"> in </w:t>
      </w:r>
      <w:proofErr w:type="spellStart"/>
      <w:r w:rsidRPr="001F3ACC">
        <w:rPr>
          <w:rFonts w:asciiTheme="majorHAnsi" w:hAnsiTheme="majorHAnsi" w:cs="Arial"/>
          <w:i/>
          <w:sz w:val="20"/>
          <w:szCs w:val="20"/>
          <w:lang w:eastAsia="de-DE" w:bidi="ar-SA"/>
        </w:rPr>
        <w:t>zijn</w:t>
      </w:r>
      <w:proofErr w:type="spellEnd"/>
      <w:r w:rsidRPr="001F3ACC">
        <w:rPr>
          <w:rFonts w:asciiTheme="majorHAnsi" w:hAnsiTheme="majorHAnsi" w:cs="Arial"/>
          <w:i/>
          <w:sz w:val="20"/>
          <w:szCs w:val="20"/>
          <w:lang w:eastAsia="de-DE" w:bidi="ar-SA"/>
        </w:rPr>
        <w:t xml:space="preserve"> </w:t>
      </w:r>
      <w:proofErr w:type="spellStart"/>
      <w:r w:rsidRPr="001F3ACC">
        <w:rPr>
          <w:rFonts w:asciiTheme="majorHAnsi" w:hAnsiTheme="majorHAnsi" w:cs="Arial"/>
          <w:i/>
          <w:sz w:val="20"/>
          <w:szCs w:val="20"/>
          <w:lang w:eastAsia="de-DE" w:bidi="ar-SA"/>
        </w:rPr>
        <w:t>referentieaanbod</w:t>
      </w:r>
      <w:proofErr w:type="spellEnd"/>
      <w:r w:rsidRPr="001F3ACC">
        <w:rPr>
          <w:rFonts w:asciiTheme="majorHAnsi" w:hAnsiTheme="majorHAnsi" w:cs="Arial"/>
          <w:i/>
          <w:sz w:val="20"/>
          <w:szCs w:val="20"/>
          <w:lang w:eastAsia="de-DE" w:bidi="ar-SA"/>
        </w:rPr>
        <w:t>.</w:t>
      </w:r>
      <w:r w:rsidR="00015AFD">
        <w:rPr>
          <w:i/>
        </w:rPr>
        <w:t>. »</w:t>
      </w:r>
    </w:p>
    <w:p w14:paraId="051DD57C" w14:textId="77777777" w:rsidR="00015AFD" w:rsidRDefault="00015AFD" w:rsidP="00EB3744">
      <w:pPr>
        <w:pStyle w:val="Opmaakprofiel1"/>
      </w:pPr>
      <w:r>
        <w:t>L'interprétation de ces paragraphes a soulevé quelques questions :</w:t>
      </w:r>
    </w:p>
    <w:p w14:paraId="051DD57D" w14:textId="77777777" w:rsidR="00015AFD" w:rsidRDefault="00015AFD" w:rsidP="00810CD6">
      <w:pPr>
        <w:pStyle w:val="NormalNSIndent"/>
        <w:numPr>
          <w:ilvl w:val="0"/>
          <w:numId w:val="45"/>
        </w:numPr>
        <w:spacing w:line="480" w:lineRule="auto"/>
      </w:pPr>
      <w:r>
        <w:t>De quelle manière détermine-t-on les profils de détail qui se trouvent dans le pool commun ?</w:t>
      </w:r>
    </w:p>
    <w:p w14:paraId="051DD57E" w14:textId="77777777" w:rsidR="00015AFD" w:rsidRDefault="00015AFD" w:rsidP="00810CD6">
      <w:pPr>
        <w:pStyle w:val="NormalNSIndent"/>
        <w:numPr>
          <w:ilvl w:val="0"/>
          <w:numId w:val="45"/>
        </w:numPr>
        <w:spacing w:line="480" w:lineRule="auto"/>
      </w:pPr>
      <w:r>
        <w:t>Quelles garanties existent concernant la continuité de ces profils ?</w:t>
      </w:r>
    </w:p>
    <w:p w14:paraId="051DD57F" w14:textId="77777777" w:rsidR="00BD504D" w:rsidRDefault="00BD504D" w:rsidP="00810CD6">
      <w:pPr>
        <w:pStyle w:val="NormalNSIndent"/>
        <w:numPr>
          <w:ilvl w:val="0"/>
          <w:numId w:val="45"/>
        </w:numPr>
        <w:spacing w:line="480" w:lineRule="auto"/>
      </w:pPr>
      <w:r>
        <w:t>Que se passe-t-il si un profil de détail vient à disparaître ?</w:t>
      </w:r>
    </w:p>
    <w:p w14:paraId="051DD580" w14:textId="77777777" w:rsidR="00BD504D" w:rsidRDefault="00BD504D" w:rsidP="00810CD6">
      <w:pPr>
        <w:pStyle w:val="NormalNSIndent"/>
        <w:numPr>
          <w:ilvl w:val="0"/>
          <w:numId w:val="45"/>
        </w:numPr>
        <w:spacing w:line="480" w:lineRule="auto"/>
      </w:pPr>
      <w:r>
        <w:t>Que se passe-t-il si un profil de détail est mis à jour et que le bénéficiaire ne souhaite pas suivre ou du moins pas directement ?</w:t>
      </w:r>
    </w:p>
    <w:p w14:paraId="051DD581" w14:textId="77777777" w:rsidR="00BD504D" w:rsidRDefault="00BD504D" w:rsidP="00810CD6">
      <w:pPr>
        <w:pStyle w:val="NormalNSIndent"/>
        <w:numPr>
          <w:ilvl w:val="0"/>
          <w:numId w:val="45"/>
        </w:numPr>
        <w:spacing w:line="480" w:lineRule="auto"/>
      </w:pPr>
      <w:r>
        <w:t>Quels sont les coûts et le timing de l'implémentation de profils propres ?</w:t>
      </w:r>
    </w:p>
    <w:p w14:paraId="051DD582" w14:textId="77777777" w:rsidR="00BD504D" w:rsidRDefault="00BD504D" w:rsidP="00810CD6">
      <w:pPr>
        <w:pStyle w:val="NormalNSIndent"/>
        <w:numPr>
          <w:ilvl w:val="0"/>
          <w:numId w:val="45"/>
        </w:numPr>
        <w:spacing w:line="480" w:lineRule="auto"/>
      </w:pPr>
      <w:r>
        <w:t>Les volumes de données sont-ils facturés de manière agrégée ?</w:t>
      </w:r>
    </w:p>
    <w:p w14:paraId="051DD583" w14:textId="2935CD6B" w:rsidR="00CE1866" w:rsidRDefault="005315BB" w:rsidP="00CE1866">
      <w:pPr>
        <w:pStyle w:val="Opmaakprofiel1"/>
      </w:pPr>
      <w:bookmarkStart w:id="52" w:name="_Toc422491268"/>
      <w:r>
        <w:t>Le MEDIENRAT</w:t>
      </w:r>
      <w:r w:rsidR="00CE1866">
        <w:t xml:space="preserve"> explicitera ci-après les principes décrits dans la décision de la CRC du 1er juillet 2011 et dans la décision de la CRC du 3 septembre 2013 à la lumière de</w:t>
      </w:r>
      <w:r w:rsidR="00A2679E">
        <w:t>s</w:t>
      </w:r>
      <w:r w:rsidR="00CE1866">
        <w:t xml:space="preserve"> question</w:t>
      </w:r>
      <w:r w:rsidR="00A2679E">
        <w:t>s</w:t>
      </w:r>
      <w:r w:rsidR="00CE1866">
        <w:t xml:space="preserve"> susmentionnée</w:t>
      </w:r>
      <w:r w:rsidR="00A2679E">
        <w:t>s</w:t>
      </w:r>
      <w:r w:rsidR="00CE1866">
        <w:t>.</w:t>
      </w:r>
    </w:p>
    <w:p w14:paraId="051DD584" w14:textId="096D99B5" w:rsidR="00BD504D" w:rsidRDefault="008003B5" w:rsidP="00EB3744">
      <w:pPr>
        <w:pStyle w:val="berschrift2"/>
      </w:pPr>
      <w:bookmarkStart w:id="53" w:name="_Toc430001821"/>
      <w:bookmarkEnd w:id="52"/>
      <w:r>
        <w:t>Analyse</w:t>
      </w:r>
      <w:bookmarkEnd w:id="53"/>
    </w:p>
    <w:p w14:paraId="051DD585" w14:textId="77777777" w:rsidR="00BD504D" w:rsidRDefault="00BD504D" w:rsidP="00EB3744">
      <w:pPr>
        <w:pStyle w:val="Opmaakprofiel1"/>
      </w:pPr>
      <w:r>
        <w:t>La décision de la CRC du 3 septembre 2013 indique clairement que les 5 profils communs sont composés sur la base de tous les profils de détail existants (actifs et historiques), mais, comme l'indique la question, cette décision de la CRC ne spécifie pas de quels profils il s'agit et qui décide de la composition.</w:t>
      </w:r>
    </w:p>
    <w:p w14:paraId="051DD586" w14:textId="1B25C41B" w:rsidR="009C31D8" w:rsidRDefault="009C31D8" w:rsidP="00EB3744">
      <w:pPr>
        <w:pStyle w:val="Opmaakprofiel1"/>
      </w:pPr>
      <w:r>
        <w:lastRenderedPageBreak/>
        <w:t>Comme décrit au § </w:t>
      </w:r>
      <w:r w:rsidR="005315BB">
        <w:t>199</w:t>
      </w:r>
      <w:r>
        <w:t xml:space="preserve"> de la Décision de la CRC du 3 septembre 2013, </w:t>
      </w:r>
      <w:r w:rsidR="005315BB">
        <w:t>le MEDIENRAT</w:t>
      </w:r>
      <w:r>
        <w:t xml:space="preserve"> a recherché un équilibre entre d'une part la liberté commerciale des bénéficiaires de l'offre de référence, qui doivent pouvoir développer, diversifier et proposer leurs propres services et produits, et d'autre part ce qui doit être une complexité gérable du réseau de </w:t>
      </w:r>
      <w:proofErr w:type="spellStart"/>
      <w:r w:rsidR="005315BB">
        <w:t>Nethys</w:t>
      </w:r>
      <w:proofErr w:type="spellEnd"/>
      <w:r>
        <w:t>.</w:t>
      </w:r>
    </w:p>
    <w:p w14:paraId="051DD587" w14:textId="5AB9CB00" w:rsidR="009C31D8" w:rsidRDefault="006B4319" w:rsidP="00EB3744">
      <w:pPr>
        <w:pStyle w:val="Opmaakprofiel1"/>
      </w:pPr>
      <w:r w:rsidRPr="00810CD6">
        <w:rPr>
          <w:b/>
        </w:rPr>
        <w:t>En ce qui concerne les profils dans le pool commun :</w:t>
      </w:r>
      <w:r>
        <w:t xml:space="preserve"> </w:t>
      </w:r>
      <w:r w:rsidR="005315BB">
        <w:t>le MEDIENRAT</w:t>
      </w:r>
      <w:r w:rsidR="009C31D8">
        <w:t xml:space="preserve"> estime que les profils de détail qui font l'objet d'une promotion active (aujourd'hui, il s'agit de </w:t>
      </w:r>
      <w:r w:rsidR="00332507">
        <w:t>toudoo</w:t>
      </w:r>
      <w:r w:rsidR="00332507">
        <w:rPr>
          <w:rStyle w:val="Funotenzeichen"/>
        </w:rPr>
        <w:footnoteReference w:id="24"/>
      </w:r>
      <w:r w:rsidR="00332507">
        <w:t>, wahoo</w:t>
      </w:r>
      <w:r w:rsidR="00332507">
        <w:rPr>
          <w:rStyle w:val="Funotenzeichen"/>
        </w:rPr>
        <w:footnoteReference w:id="25"/>
      </w:r>
      <w:r w:rsidR="00332507">
        <w:t xml:space="preserve"> en tatoo</w:t>
      </w:r>
      <w:r w:rsidR="00332507">
        <w:rPr>
          <w:rStyle w:val="Funotenzeichen"/>
        </w:rPr>
        <w:footnoteReference w:id="26"/>
      </w:r>
      <w:r w:rsidR="009C31D8">
        <w:t xml:space="preserve">) feront toujours partie du « pool commun », parce que ces profils, en raison de leur lancement récent, continueront </w:t>
      </w:r>
      <w:r w:rsidR="00332507">
        <w:t xml:space="preserve">normalement </w:t>
      </w:r>
      <w:r w:rsidR="009C31D8">
        <w:t>à exister longtemps. Pour ces profils, il existe donc une certaine stabilité.</w:t>
      </w:r>
    </w:p>
    <w:p w14:paraId="6D02E3C6" w14:textId="794D22E5" w:rsidR="00332507" w:rsidRDefault="00332507" w:rsidP="00332507">
      <w:pPr>
        <w:pStyle w:val="Opmaakprofiel1"/>
      </w:pPr>
      <w:r>
        <w:t xml:space="preserve">Par conséquent, il y a encore deux profils disponibles dans la liste commune, qui doivent être complétés par des profils historiques qui n'ont pas fait l'objet d'une promotion. Afin de créer autant d’espace que possible </w:t>
      </w:r>
      <w:r w:rsidRPr="00332507">
        <w:t xml:space="preserve">pour permettre le </w:t>
      </w:r>
      <w:r>
        <w:t>développement d'une offre</w:t>
      </w:r>
      <w:r w:rsidRPr="00332507">
        <w:t xml:space="preserve"> propre </w:t>
      </w:r>
      <w:r>
        <w:t xml:space="preserve">et </w:t>
      </w:r>
      <w:r w:rsidRPr="00332507">
        <w:t>en vue de promouvoir la compétitivité des bénéficiaires</w:t>
      </w:r>
      <w:r>
        <w:t xml:space="preserve">, </w:t>
      </w:r>
      <w:r w:rsidR="005315BB">
        <w:t>le MEDIENRAT</w:t>
      </w:r>
      <w:r>
        <w:t xml:space="preserve"> estime ici que les bénéficiaires de l'offre de référence doivent pouvoir décider de quels profils il s'agit, conformément à leur planning de produit. Pour </w:t>
      </w:r>
      <w:proofErr w:type="spellStart"/>
      <w:r w:rsidR="005315BB">
        <w:t>Nethys</w:t>
      </w:r>
      <w:proofErr w:type="spellEnd"/>
      <w:r>
        <w:t>, cela n'a pas d'impact vu que le profil existe déjà. Aucune analyse technique ne doit donc être réalisée pour vérifier si ce profil peut ou non être implémenté.</w:t>
      </w:r>
    </w:p>
    <w:p w14:paraId="3A4E6845" w14:textId="0C1C348D" w:rsidR="00332507" w:rsidRDefault="00332507" w:rsidP="00EB3744">
      <w:pPr>
        <w:pStyle w:val="Opmaakprofiel1"/>
      </w:pPr>
      <w:r>
        <w:t>Si les bénéficiaires</w:t>
      </w:r>
      <w:r>
        <w:rPr>
          <w:rStyle w:val="Funotenzeichen"/>
        </w:rPr>
        <w:footnoteReference w:id="27"/>
      </w:r>
      <w:r>
        <w:t xml:space="preserve"> ne parviennent pas à un consensus sur les profils à ajouter au pool commun, </w:t>
      </w:r>
      <w:r w:rsidR="005315BB">
        <w:t>le MEDIENRAT</w:t>
      </w:r>
      <w:r>
        <w:t xml:space="preserve"> analysera les profils qui seront ajoutés.</w:t>
      </w:r>
    </w:p>
    <w:p w14:paraId="051DD588" w14:textId="37845C3B" w:rsidR="007D093E" w:rsidRDefault="00332507" w:rsidP="00EB3744">
      <w:pPr>
        <w:pStyle w:val="Opmaakprofiel1"/>
      </w:pPr>
      <w:r w:rsidRPr="00810CD6">
        <w:rPr>
          <w:b/>
        </w:rPr>
        <w:t xml:space="preserve">En ce qui concerne </w:t>
      </w:r>
      <w:r w:rsidR="00E3648A" w:rsidRPr="008A57A7">
        <w:rPr>
          <w:b/>
        </w:rPr>
        <w:t>la continuité de</w:t>
      </w:r>
      <w:r w:rsidR="00E3648A">
        <w:rPr>
          <w:b/>
        </w:rPr>
        <w:t>s</w:t>
      </w:r>
      <w:r w:rsidRPr="00810CD6">
        <w:rPr>
          <w:b/>
        </w:rPr>
        <w:t xml:space="preserve"> profils </w:t>
      </w:r>
      <w:r w:rsidR="00E3648A" w:rsidRPr="00810CD6">
        <w:rPr>
          <w:b/>
        </w:rPr>
        <w:t>dans le pool commun</w:t>
      </w:r>
      <w:r>
        <w:t xml:space="preserve">: </w:t>
      </w:r>
      <w:r w:rsidR="005315BB">
        <w:t>le MEDIENRAT</w:t>
      </w:r>
      <w:r w:rsidR="00F10EBD">
        <w:t xml:space="preserve"> formule toutefois une remarque : conformément au § </w:t>
      </w:r>
      <w:r w:rsidR="005315BB">
        <w:t>819</w:t>
      </w:r>
      <w:r w:rsidR="00F10EBD">
        <w:t xml:space="preserve"> de la Décision de la CRC du 1er juillet 2011, </w:t>
      </w:r>
      <w:proofErr w:type="spellStart"/>
      <w:r w:rsidR="005315BB">
        <w:t>Nethys</w:t>
      </w:r>
      <w:proofErr w:type="spellEnd"/>
      <w:r w:rsidR="005315BB">
        <w:t xml:space="preserve"> </w:t>
      </w:r>
      <w:r w:rsidR="00F10EBD">
        <w:t xml:space="preserve">est soumise à une obligation de revente de son offre haut débit, pas à une offre de gros indépendante. Cela signifie qu'elle ne peut pas être obligée à entretenir des profils pour les clients finals de ses bénéficiaires s'il n'y a plus de clients de détail chez </w:t>
      </w:r>
      <w:proofErr w:type="spellStart"/>
      <w:r w:rsidR="005315BB">
        <w:t>Nethys</w:t>
      </w:r>
      <w:proofErr w:type="spellEnd"/>
      <w:r w:rsidR="005315BB">
        <w:t xml:space="preserve"> </w:t>
      </w:r>
      <w:r w:rsidR="00F10EBD">
        <w:t xml:space="preserve">qui utilisent ce profil. En </w:t>
      </w:r>
      <w:r w:rsidR="00F10EBD">
        <w:lastRenderedPageBreak/>
        <w:t xml:space="preserve">d'autres termes, si </w:t>
      </w:r>
      <w:proofErr w:type="spellStart"/>
      <w:r w:rsidR="005315BB">
        <w:t>Nethys</w:t>
      </w:r>
      <w:proofErr w:type="spellEnd"/>
      <w:r w:rsidR="005315BB">
        <w:t xml:space="preserve"> </w:t>
      </w:r>
      <w:r w:rsidR="00F10EBD">
        <w:t>respecte le délai de notification imposé de six mois</w:t>
      </w:r>
      <w:r w:rsidR="00F10EBD">
        <w:rPr>
          <w:rStyle w:val="Funotenzeichen"/>
        </w:rPr>
        <w:footnoteReference w:id="28"/>
      </w:r>
      <w:r w:rsidR="00F10EBD">
        <w:t>, elle peut adapter ses profils de détail ou même les supprimer. Par conséquent, la stabilité d'un profil qui n'est plus utilisé au niveau de détail est uniquement garantie pour 6 mois.</w:t>
      </w:r>
    </w:p>
    <w:p w14:paraId="051DD589" w14:textId="3DCCFF79" w:rsidR="00774449" w:rsidRDefault="00E3648A" w:rsidP="00EB3744">
      <w:pPr>
        <w:pStyle w:val="Opmaakprofiel1"/>
      </w:pPr>
      <w:r w:rsidRPr="005D4364">
        <w:rPr>
          <w:b/>
        </w:rPr>
        <w:t xml:space="preserve">En ce qui concerne </w:t>
      </w:r>
      <w:r>
        <w:rPr>
          <w:b/>
        </w:rPr>
        <w:t>une mise à jour</w:t>
      </w:r>
      <w:r w:rsidRPr="005D4364">
        <w:rPr>
          <w:b/>
        </w:rPr>
        <w:t xml:space="preserve"> de</w:t>
      </w:r>
      <w:r>
        <w:rPr>
          <w:b/>
        </w:rPr>
        <w:t>s</w:t>
      </w:r>
      <w:r w:rsidRPr="005D4364">
        <w:rPr>
          <w:b/>
        </w:rPr>
        <w:t xml:space="preserve"> profils dans le pool commun</w:t>
      </w:r>
      <w:r>
        <w:rPr>
          <w:b/>
        </w:rPr>
        <w:t> :</w:t>
      </w:r>
      <w:r>
        <w:t xml:space="preserve"> s</w:t>
      </w:r>
      <w:r w:rsidR="00774449">
        <w:t>i le bénéficiaire ne veut pas ou ne souhaite pas suivre l'adaptation du profil, ou si le profil vient à disparaître, le bénéficiaire n'a pas d'autre choix que de transférer ses clients finals vers un autre profil, qui sera choisi par les bénéficiaires concernés.</w:t>
      </w:r>
    </w:p>
    <w:p w14:paraId="139714E6" w14:textId="77777777" w:rsidR="00E3648A" w:rsidRDefault="0003492A" w:rsidP="00EB3744">
      <w:pPr>
        <w:pStyle w:val="Opmaakprofiel1"/>
      </w:pPr>
      <w:r>
        <w:t xml:space="preserve">Une autre possibilité pour une migration est le développement d'un profil propre, auquel tout bénéficiaire a droit. </w:t>
      </w:r>
    </w:p>
    <w:p w14:paraId="051DD58A" w14:textId="1E1F4C35" w:rsidR="0017460D" w:rsidRDefault="0003492A" w:rsidP="00EB3744">
      <w:pPr>
        <w:pStyle w:val="Opmaakprofiel1"/>
      </w:pPr>
      <w:r w:rsidRPr="00810CD6">
        <w:rPr>
          <w:b/>
        </w:rPr>
        <w:t>En ce qui concerne le timing de l'implémentation de ce profil propre</w:t>
      </w:r>
      <w:r>
        <w:t xml:space="preserve">, </w:t>
      </w:r>
      <w:r w:rsidR="005315BB">
        <w:t>le MEDIENRAT</w:t>
      </w:r>
      <w:r>
        <w:t xml:space="preserve"> renvoie à la pratique courante de schémas de release IT. Chaque release IT débute par une phase de conception, après quoi les concepts prometteurs sont élaborés plus en détail sur la base de leur faisabilité. L'on décide au final si le concept fera partie d'une release IT.</w:t>
      </w:r>
    </w:p>
    <w:p w14:paraId="051DD58B" w14:textId="79D4E84F" w:rsidR="0003492A" w:rsidRDefault="0017460D" w:rsidP="00EB3744">
      <w:pPr>
        <w:pStyle w:val="Opmaakprofiel1"/>
      </w:pPr>
      <w:r>
        <w:t xml:space="preserve">L'implémentation d'un profil propre se fera donc après une demande du bénéficiaire, qui sera ensuite testée par </w:t>
      </w:r>
      <w:proofErr w:type="spellStart"/>
      <w:r w:rsidR="005315BB">
        <w:t>Nethys</w:t>
      </w:r>
      <w:proofErr w:type="spellEnd"/>
      <w:r w:rsidR="005315BB">
        <w:t xml:space="preserve"> </w:t>
      </w:r>
      <w:r>
        <w:t xml:space="preserve">au niveau de sa faisabilité et fera ensuite partie d'une release IT. </w:t>
      </w:r>
      <w:r w:rsidR="005315BB">
        <w:t>Le MEDIENRAT</w:t>
      </w:r>
      <w:r>
        <w:t xml:space="preserve"> estime que </w:t>
      </w:r>
      <w:proofErr w:type="spellStart"/>
      <w:r w:rsidR="005315BB">
        <w:t>Nethys</w:t>
      </w:r>
      <w:proofErr w:type="spellEnd"/>
      <w:r w:rsidR="005315BB">
        <w:t xml:space="preserve"> </w:t>
      </w:r>
      <w:r>
        <w:t>doit développer une procédure non discriminatoire de ce type avec les timings correspondants pour les projets IT, comme les profils propres, pour ses clients de gros.</w:t>
      </w:r>
    </w:p>
    <w:p w14:paraId="051DD58C" w14:textId="707178DB" w:rsidR="00CE1866" w:rsidRPr="00BD504D" w:rsidRDefault="00CE1866" w:rsidP="00CE1866">
      <w:pPr>
        <w:pStyle w:val="Opmaakprofiel1"/>
      </w:pPr>
      <w:r>
        <w:t xml:space="preserve">Tout comme une release IT est nécessaire pour créer un profil, une release IT est également nécessaire pour supprimer un profil. Dans le cadre de la non-discrimination, </w:t>
      </w:r>
      <w:r w:rsidR="005315BB">
        <w:t>le MEDIENRAT</w:t>
      </w:r>
      <w:r>
        <w:t xml:space="preserve"> décide que la release IT que </w:t>
      </w:r>
      <w:proofErr w:type="spellStart"/>
      <w:r w:rsidR="005315BB">
        <w:t>Nethys</w:t>
      </w:r>
      <w:proofErr w:type="spellEnd"/>
      <w:r w:rsidR="005315BB">
        <w:t xml:space="preserve"> </w:t>
      </w:r>
      <w:r>
        <w:t>utilise pour adapter ou supprimer son profil, sera utilisée en même temps pour adapter le choix de profil du bénéficiaire. Cela signifie une migration de l'ancien profil vers un autre profil existant ou vers un nouveau profil propre.</w:t>
      </w:r>
    </w:p>
    <w:p w14:paraId="051DD58D" w14:textId="22C6D453" w:rsidR="00015AFD" w:rsidRDefault="00E3648A" w:rsidP="00DF0430">
      <w:pPr>
        <w:pStyle w:val="Opmaakprofiel1"/>
      </w:pPr>
      <w:r w:rsidRPr="005D4364">
        <w:rPr>
          <w:b/>
        </w:rPr>
        <w:lastRenderedPageBreak/>
        <w:t>En ce qui concerne le</w:t>
      </w:r>
      <w:r>
        <w:rPr>
          <w:b/>
        </w:rPr>
        <w:t xml:space="preserve">s coûts de l'implémentation des </w:t>
      </w:r>
      <w:r w:rsidRPr="005D4364">
        <w:rPr>
          <w:b/>
        </w:rPr>
        <w:t>profil</w:t>
      </w:r>
      <w:r>
        <w:rPr>
          <w:b/>
        </w:rPr>
        <w:t>s</w:t>
      </w:r>
      <w:r w:rsidRPr="005D4364">
        <w:rPr>
          <w:b/>
        </w:rPr>
        <w:t xml:space="preserve"> propre</w:t>
      </w:r>
      <w:r>
        <w:rPr>
          <w:b/>
        </w:rPr>
        <w:t>s </w:t>
      </w:r>
      <w:r>
        <w:t>: c</w:t>
      </w:r>
      <w:r w:rsidR="00B71A49">
        <w:t xml:space="preserve">onformément à la décision du 11 décembre 2013, les coûts de développement d'un profil propre font partie des coûts d'implémentation, ce qui fait que ceux-ci peuvent être partiellement récupérés par </w:t>
      </w:r>
      <w:proofErr w:type="spellStart"/>
      <w:r w:rsidR="005315BB">
        <w:t>Nethys</w:t>
      </w:r>
      <w:proofErr w:type="spellEnd"/>
      <w:r w:rsidR="005315BB">
        <w:t xml:space="preserve"> </w:t>
      </w:r>
      <w:r w:rsidR="00B71A49">
        <w:t>via les montants mensuels.</w:t>
      </w:r>
    </w:p>
    <w:p w14:paraId="051DD58E" w14:textId="5BD80E5D" w:rsidR="002961B1" w:rsidRDefault="00E3648A" w:rsidP="00E3648A">
      <w:pPr>
        <w:pStyle w:val="Opmaakprofiel1"/>
      </w:pPr>
      <w:r w:rsidRPr="005D4364">
        <w:rPr>
          <w:b/>
        </w:rPr>
        <w:t xml:space="preserve">En ce qui concerne </w:t>
      </w:r>
      <w:r>
        <w:rPr>
          <w:b/>
        </w:rPr>
        <w:t>l</w:t>
      </w:r>
      <w:r w:rsidRPr="00E3648A">
        <w:rPr>
          <w:b/>
        </w:rPr>
        <w:t>es volumes de données</w:t>
      </w:r>
      <w:r>
        <w:rPr>
          <w:b/>
        </w:rPr>
        <w:t xml:space="preserve"> : </w:t>
      </w:r>
      <w:r>
        <w:t>p</w:t>
      </w:r>
      <w:r w:rsidR="002961B1">
        <w:t>our</w:t>
      </w:r>
      <w:r w:rsidR="0090351E">
        <w:t xml:space="preserve"> ceci</w:t>
      </w:r>
      <w:r w:rsidR="002961B1">
        <w:t xml:space="preserve">, </w:t>
      </w:r>
      <w:r w:rsidR="005315BB">
        <w:t>le MEDIENRAT</w:t>
      </w:r>
      <w:r w:rsidR="002961B1">
        <w:t xml:space="preserve"> renvoie à nouveau à l'obligation de revente, ce qui implique que l'offre de détail constitue la base de l'offre de gros. Et vu que dans le retail, les volumes de données sont mesurés et facturés par client, cela vaut également pour l'offre de gros. </w:t>
      </w:r>
    </w:p>
    <w:p w14:paraId="57114EA5" w14:textId="02EA7E0C" w:rsidR="0090351E" w:rsidRDefault="00995E12" w:rsidP="0090351E">
      <w:pPr>
        <w:pStyle w:val="Opmaakprofiel1"/>
      </w:pPr>
      <w:r>
        <w:t>En outre, un volume</w:t>
      </w:r>
      <w:r w:rsidR="0090351E">
        <w:t xml:space="preserve"> de données </w:t>
      </w:r>
      <w:r>
        <w:t xml:space="preserve">agrégé </w:t>
      </w:r>
      <w:r w:rsidR="0090351E">
        <w:t xml:space="preserve">pourrait conduire à des abus par les clients finaux des bénéficiaires qui peuvent conduire à une surcharge du réseau local. </w:t>
      </w:r>
      <w:r w:rsidR="005315BB">
        <w:t>Le MEDIENRAT</w:t>
      </w:r>
      <w:r w:rsidR="0090351E">
        <w:t xml:space="preserve"> clarifie avec un exemple: supposons que la limite de données est de 200 Go, </w:t>
      </w:r>
      <w:r>
        <w:t xml:space="preserve">pour 10 utilisateurs </w:t>
      </w:r>
      <w:r w:rsidR="0090351E">
        <w:t xml:space="preserve">cela reviendrait à </w:t>
      </w:r>
      <w:r>
        <w:t xml:space="preserve">un volume de données agrégé de </w:t>
      </w:r>
      <w:r w:rsidR="0090351E">
        <w:t xml:space="preserve">2000Go. Mais </w:t>
      </w:r>
      <w:r>
        <w:t>il est possible</w:t>
      </w:r>
      <w:r w:rsidR="0090351E">
        <w:t xml:space="preserve"> que cette 2000Go </w:t>
      </w:r>
      <w:r>
        <w:t>n’</w:t>
      </w:r>
      <w:r w:rsidR="0090351E">
        <w:t xml:space="preserve">est pas répartie de façon égale sur les 10 utilisateurs. Il est plus probable qu'il existe des utilisateurs qui </w:t>
      </w:r>
      <w:r>
        <w:t>téléchargent 100GB,</w:t>
      </w:r>
      <w:r w:rsidR="0090351E">
        <w:t xml:space="preserve"> 50 Go ou moins, mais aussi d'autres qui utilisent 300GB, 350GB ou plus.</w:t>
      </w:r>
    </w:p>
    <w:p w14:paraId="21CB3CB6" w14:textId="7E7FB62B" w:rsidR="0090351E" w:rsidRDefault="00995E12" w:rsidP="0090351E">
      <w:pPr>
        <w:pStyle w:val="Opmaakprofiel1"/>
      </w:pPr>
      <w:r>
        <w:t xml:space="preserve">Des </w:t>
      </w:r>
      <w:r w:rsidR="0090351E">
        <w:t xml:space="preserve">limites de données sont définies de sorte que tous les utilisateurs (à la fois </w:t>
      </w:r>
      <w:r w:rsidR="00195F5B">
        <w:t xml:space="preserve">de </w:t>
      </w:r>
      <w:r w:rsidR="0090351E">
        <w:t xml:space="preserve">gros et de détail) du réseau local peuvent utiliser une partie du réseau local. Les grands utilisateurs occupent une part disproportionnée de la capacité et </w:t>
      </w:r>
      <w:r w:rsidR="00195F5B">
        <w:t xml:space="preserve">entravent </w:t>
      </w:r>
      <w:r w:rsidR="0090351E">
        <w:t xml:space="preserve">ainsi les autres utilisateurs à utiliser leur capacité du réseau local. </w:t>
      </w:r>
      <w:r w:rsidR="005315BB">
        <w:t>Le MEDIENRAT</w:t>
      </w:r>
      <w:r w:rsidR="0090351E">
        <w:t xml:space="preserve"> estime donc que</w:t>
      </w:r>
      <w:r w:rsidR="00195F5B">
        <w:t xml:space="preserve"> un contrôle </w:t>
      </w:r>
      <w:r w:rsidR="0090351E">
        <w:t xml:space="preserve">et </w:t>
      </w:r>
      <w:r w:rsidR="00195F5B">
        <w:t>facture</w:t>
      </w:r>
      <w:r w:rsidR="0090351E">
        <w:t xml:space="preserve"> par utilisateur final est nécessaire afin que tous les clients finaux (gros et détail) peuvent utiliser les services sur le réseau local pour lesquels ils paient.</w:t>
      </w:r>
    </w:p>
    <w:p w14:paraId="531844E9" w14:textId="377E7C3B" w:rsidR="00195F5B" w:rsidRDefault="005315BB" w:rsidP="0090351E">
      <w:pPr>
        <w:pStyle w:val="Opmaakprofiel1"/>
      </w:pPr>
      <w:r>
        <w:t>Le MEDIENRAT</w:t>
      </w:r>
      <w:r w:rsidR="00195F5B">
        <w:t xml:space="preserve"> estime donc que la demande d'un volume de données agrégé doit être rejetée.</w:t>
      </w:r>
    </w:p>
    <w:p w14:paraId="051DD58F" w14:textId="77777777" w:rsidR="001E50B2" w:rsidRDefault="001E50B2" w:rsidP="00E655AC">
      <w:pPr>
        <w:pStyle w:val="berschrift2"/>
      </w:pPr>
      <w:bookmarkStart w:id="54" w:name="_Toc422491269"/>
      <w:bookmarkStart w:id="55" w:name="_Toc430001822"/>
      <w:r>
        <w:t>Conclusion</w:t>
      </w:r>
      <w:bookmarkEnd w:id="54"/>
      <w:bookmarkEnd w:id="55"/>
    </w:p>
    <w:p w14:paraId="051DD590" w14:textId="20EC25AF" w:rsidR="001E50B2" w:rsidRDefault="005315BB">
      <w:pPr>
        <w:pStyle w:val="Opmaakprofiel1"/>
      </w:pPr>
      <w:r>
        <w:t>Le MEDIENRAT</w:t>
      </w:r>
      <w:r w:rsidR="001E50B2">
        <w:t xml:space="preserve"> a analysé et répondu à une série de questions du secteur dans les paragraphes précédents :</w:t>
      </w:r>
    </w:p>
    <w:p w14:paraId="051DD591" w14:textId="77777777" w:rsidR="001E50B2" w:rsidRDefault="001E50B2" w:rsidP="006234EC">
      <w:pPr>
        <w:pStyle w:val="Opmaakprofiel2"/>
      </w:pPr>
      <w:r>
        <w:t>Les profils de détail actifs appartiennent à un ensemble de 5 profils communs.</w:t>
      </w:r>
    </w:p>
    <w:p w14:paraId="051DD592" w14:textId="77777777" w:rsidR="001E50B2" w:rsidRDefault="001E50B2" w:rsidP="006234EC">
      <w:pPr>
        <w:pStyle w:val="Opmaakprofiel2"/>
      </w:pPr>
      <w:r>
        <w:t>L'espace restant dans ces 5 profils communs est comblé par des profils historiques choisis par les bénéficiaires.</w:t>
      </w:r>
    </w:p>
    <w:p w14:paraId="051DD593" w14:textId="264DA91B" w:rsidR="001E50B2" w:rsidRDefault="001E50B2" w:rsidP="006234EC">
      <w:pPr>
        <w:pStyle w:val="Opmaakprofiel2"/>
      </w:pPr>
      <w:r>
        <w:lastRenderedPageBreak/>
        <w:t xml:space="preserve">Tant que </w:t>
      </w:r>
      <w:proofErr w:type="spellStart"/>
      <w:r w:rsidR="005315BB">
        <w:t>Nethys</w:t>
      </w:r>
      <w:proofErr w:type="spellEnd"/>
      <w:r w:rsidR="005315BB">
        <w:t xml:space="preserve"> </w:t>
      </w:r>
      <w:r>
        <w:t>respecte le délai de notification pour les adaptations à l'offre de large bande, elle est libre d'adapter ou de supprimer ses profils de détail.</w:t>
      </w:r>
    </w:p>
    <w:p w14:paraId="051DD594" w14:textId="77777777" w:rsidR="001E50B2" w:rsidRDefault="001E50B2" w:rsidP="006234EC">
      <w:pPr>
        <w:pStyle w:val="Opmaakprofiel2"/>
      </w:pPr>
      <w:r>
        <w:t>Après une adaptation ou une suppression, le bénéficiaire a la possibilité de transférer ses clients vers un autre profil de gros disponible ou de développer un profil propre, dans les limites des deux possibilités dont dispose chaque bénéficiaire.</w:t>
      </w:r>
    </w:p>
    <w:p w14:paraId="051DD595" w14:textId="0F2A613A" w:rsidR="001E50B2" w:rsidRDefault="005315BB" w:rsidP="006234EC">
      <w:pPr>
        <w:pStyle w:val="Opmaakprofiel2"/>
      </w:pPr>
      <w:proofErr w:type="spellStart"/>
      <w:r>
        <w:t>Nethys</w:t>
      </w:r>
      <w:proofErr w:type="spellEnd"/>
      <w:r>
        <w:t xml:space="preserve"> </w:t>
      </w:r>
      <w:r w:rsidR="00286254">
        <w:t>développera une procédure qui spécifie quels délais un bénéficiaire doit respecter pour demander ses propres profils et les ajouter à une release IT.</w:t>
      </w:r>
    </w:p>
    <w:p w14:paraId="051DD596" w14:textId="77777777" w:rsidR="001E50B2" w:rsidRPr="001E50B2" w:rsidRDefault="001E50B2" w:rsidP="006234EC">
      <w:pPr>
        <w:pStyle w:val="Opmaakprofiel2"/>
      </w:pPr>
      <w:r>
        <w:t>Les volumes de données sont mesurés et facturés par client final.</w:t>
      </w:r>
    </w:p>
    <w:p w14:paraId="051DD597" w14:textId="77777777" w:rsidR="00DF0430" w:rsidRDefault="00DF0430" w:rsidP="00EB3744">
      <w:pPr>
        <w:pStyle w:val="Opmaakprofiel1"/>
        <w:numPr>
          <w:ilvl w:val="0"/>
          <w:numId w:val="0"/>
        </w:numPr>
      </w:pPr>
    </w:p>
    <w:p w14:paraId="051DD598" w14:textId="77777777" w:rsidR="00DF0430" w:rsidRDefault="00DF0430" w:rsidP="00EB3744">
      <w:pPr>
        <w:pStyle w:val="Opmaakprofiel1"/>
        <w:numPr>
          <w:ilvl w:val="0"/>
          <w:numId w:val="0"/>
        </w:numPr>
        <w:sectPr w:rsidR="00DF0430" w:rsidSect="0036572B">
          <w:footerReference w:type="default" r:id="rId18"/>
          <w:footerReference w:type="first" r:id="rId19"/>
          <w:pgSz w:w="11906" w:h="16838" w:code="9"/>
          <w:pgMar w:top="1440" w:right="1440" w:bottom="1440" w:left="1440" w:header="720" w:footer="567" w:gutter="0"/>
          <w:cols w:space="720"/>
          <w:titlePg/>
          <w:docGrid w:linePitch="299"/>
        </w:sectPr>
      </w:pPr>
    </w:p>
    <w:p w14:paraId="051DD599" w14:textId="77777777" w:rsidR="001C027F" w:rsidRDefault="005E2D5E" w:rsidP="001C027F">
      <w:pPr>
        <w:pStyle w:val="berschrift1"/>
      </w:pPr>
      <w:bookmarkStart w:id="56" w:name="_Toc422491270"/>
      <w:bookmarkStart w:id="57" w:name="_Toc430001823"/>
      <w:r>
        <w:lastRenderedPageBreak/>
        <w:t>Autres éléments des nouvelles annexes</w:t>
      </w:r>
      <w:bookmarkEnd w:id="56"/>
      <w:bookmarkEnd w:id="57"/>
    </w:p>
    <w:p w14:paraId="051DD59A" w14:textId="192198BF" w:rsidR="0090305D" w:rsidRPr="00150728" w:rsidRDefault="00150728" w:rsidP="00B3628E">
      <w:pPr>
        <w:pStyle w:val="Opmaakprofiel1"/>
      </w:pPr>
      <w:r w:rsidRPr="00150728">
        <w:t>[confidentiel]</w:t>
      </w:r>
    </w:p>
    <w:p w14:paraId="051DD5D7" w14:textId="77777777" w:rsidR="00511ED9" w:rsidRPr="00E63725" w:rsidRDefault="00511ED9" w:rsidP="00CF7193">
      <w:pPr>
        <w:pStyle w:val="Opmaakprofiel1"/>
        <w:rPr>
          <w:highlight w:val="yellow"/>
        </w:rPr>
        <w:sectPr w:rsidR="00511ED9" w:rsidRPr="00E63725" w:rsidSect="0036572B">
          <w:pgSz w:w="16838" w:h="11906" w:orient="landscape" w:code="9"/>
          <w:pgMar w:top="1440" w:right="1440" w:bottom="1440" w:left="1440" w:header="720" w:footer="567" w:gutter="0"/>
          <w:cols w:space="720"/>
          <w:titlePg/>
          <w:docGrid w:linePitch="299"/>
        </w:sectPr>
      </w:pPr>
    </w:p>
    <w:p w14:paraId="051DD5D8" w14:textId="77777777" w:rsidR="00242FEA" w:rsidRPr="00C93199" w:rsidRDefault="00242FEA" w:rsidP="00242FEA">
      <w:pPr>
        <w:pStyle w:val="berschrift1"/>
        <w:numPr>
          <w:ilvl w:val="0"/>
          <w:numId w:val="2"/>
        </w:numPr>
      </w:pPr>
      <w:bookmarkStart w:id="58" w:name="_Toc422491271"/>
      <w:bookmarkStart w:id="59" w:name="_Toc430001824"/>
      <w:r>
        <w:lastRenderedPageBreak/>
        <w:t>Décision</w:t>
      </w:r>
      <w:bookmarkEnd w:id="58"/>
      <w:bookmarkEnd w:id="59"/>
    </w:p>
    <w:p w14:paraId="051DD5D9" w14:textId="3F01AE61" w:rsidR="009159F5" w:rsidRDefault="005315BB" w:rsidP="00CF7193">
      <w:pPr>
        <w:pStyle w:val="Opmaakprofiel1"/>
      </w:pPr>
      <w:r>
        <w:t>Le MEDIENRAT</w:t>
      </w:r>
      <w:r w:rsidR="00F9137D">
        <w:t xml:space="preserve"> approuve l’offre de référence pour autant que </w:t>
      </w:r>
      <w:proofErr w:type="spellStart"/>
      <w:r>
        <w:t>Nethys</w:t>
      </w:r>
      <w:proofErr w:type="spellEnd"/>
      <w:r>
        <w:t xml:space="preserve"> </w:t>
      </w:r>
      <w:r w:rsidR="00F9137D">
        <w:t>adapte l'offre de référence dans son intégralité aux remarques contenues dans la présente décision, et ce, au plus tard dans les 30 jours à dater de la publication de la présente décision.</w:t>
      </w:r>
    </w:p>
    <w:p w14:paraId="051DD5DA" w14:textId="491A0D72" w:rsidR="00FD4017" w:rsidRDefault="009159F5" w:rsidP="00372338">
      <w:pPr>
        <w:pStyle w:val="Opmaakprofiel1"/>
      </w:pPr>
      <w:r>
        <w:t xml:space="preserve">Enfin, </w:t>
      </w:r>
      <w:r w:rsidR="005315BB">
        <w:t>le MEDIENRAT</w:t>
      </w:r>
      <w:r>
        <w:t xml:space="preserve"> souhaite rappeler à </w:t>
      </w:r>
      <w:proofErr w:type="spellStart"/>
      <w:r w:rsidR="005315BB">
        <w:t>Nethys</w:t>
      </w:r>
      <w:proofErr w:type="spellEnd"/>
      <w:r w:rsidR="005315BB">
        <w:t xml:space="preserve"> </w:t>
      </w:r>
      <w:r>
        <w:t xml:space="preserve">que, conformément à l'article </w:t>
      </w:r>
      <w:r w:rsidR="005315BB">
        <w:t>72.1</w:t>
      </w:r>
      <w:r>
        <w:t xml:space="preserve"> d</w:t>
      </w:r>
      <w:r w:rsidR="005315BB">
        <w:t>u décret du 27 juin 200</w:t>
      </w:r>
      <w:r>
        <w:t xml:space="preserve">5, elle doit, avec cette approbation formelle de l'offre de référence, publier l'offre de référence.  </w:t>
      </w:r>
    </w:p>
    <w:p w14:paraId="051DD5DB" w14:textId="1CB5D7BE" w:rsidR="002721D8" w:rsidRPr="00C93199" w:rsidRDefault="00FD4017" w:rsidP="00372338">
      <w:pPr>
        <w:pStyle w:val="Opmaakprofiel1"/>
      </w:pPr>
      <w:r>
        <w:t xml:space="preserve">De plus, </w:t>
      </w:r>
      <w:r w:rsidR="005315BB">
        <w:t>le MEDIENRAT</w:t>
      </w:r>
      <w:r>
        <w:t xml:space="preserve"> souligne que l'offre de référence doit pouvoir à tout moment être modifiée afin de tenir compte de l'évolution des offres de </w:t>
      </w:r>
      <w:proofErr w:type="spellStart"/>
      <w:r w:rsidR="005315BB">
        <w:t>Nethys</w:t>
      </w:r>
      <w:proofErr w:type="spellEnd"/>
      <w:r w:rsidR="005315BB">
        <w:t xml:space="preserve"> </w:t>
      </w:r>
      <w:r>
        <w:t xml:space="preserve">et des demandes des bénéficiaires en vue d'imposer les mesures prévues par la décision d'analyse de marché et la loi.  </w:t>
      </w:r>
    </w:p>
    <w:p w14:paraId="051DD5DC" w14:textId="77777777" w:rsidR="00572AB0" w:rsidRPr="00C93199" w:rsidRDefault="00572AB0" w:rsidP="00572AB0">
      <w:pPr>
        <w:pStyle w:val="berschrift1"/>
        <w:numPr>
          <w:ilvl w:val="0"/>
          <w:numId w:val="2"/>
        </w:numPr>
        <w:rPr>
          <w:bCs w:val="0"/>
          <w:szCs w:val="24"/>
        </w:rPr>
      </w:pPr>
      <w:bookmarkStart w:id="60" w:name="_Toc336002102"/>
      <w:bookmarkStart w:id="61" w:name="_Toc422491272"/>
      <w:bookmarkStart w:id="62" w:name="_Toc305507953"/>
      <w:bookmarkStart w:id="63" w:name="_Toc430001825"/>
      <w:r>
        <w:lastRenderedPageBreak/>
        <w:t>Voies de recours</w:t>
      </w:r>
      <w:bookmarkEnd w:id="60"/>
      <w:bookmarkEnd w:id="61"/>
      <w:bookmarkEnd w:id="63"/>
    </w:p>
    <w:bookmarkEnd w:id="62"/>
    <w:p w14:paraId="051DD5DE" w14:textId="0C6851A8" w:rsidR="007466EF" w:rsidRPr="005315BB" w:rsidRDefault="005315BB" w:rsidP="005315BB">
      <w:pPr>
        <w:pStyle w:val="Opmaakprofiel1"/>
        <w:rPr>
          <w:lang w:val="de-DE"/>
        </w:rPr>
      </w:pPr>
      <w:r w:rsidRPr="003609B1">
        <w:rPr>
          <w:rFonts w:cs="Verdana"/>
          <w:lang w:val="de-DE"/>
        </w:rPr>
        <w:t>(</w:t>
      </w:r>
      <w:r w:rsidRPr="005315BB">
        <w:rPr>
          <w:rFonts w:cs="Verdana"/>
          <w:i/>
          <w:lang w:val="de-DE"/>
        </w:rPr>
        <w:t>gemäß Art. 2 des Dekrets vom 16. Oktober 1995 über die Öffentlichkeit von Verwaltungsdokumenten</w:t>
      </w:r>
      <w:r>
        <w:rPr>
          <w:rFonts w:cs="Verdana"/>
          <w:lang w:val="de-DE"/>
        </w:rPr>
        <w:t xml:space="preserve">) </w:t>
      </w:r>
      <w:r w:rsidRPr="00B8237D">
        <w:rPr>
          <w:rFonts w:cs="Verdana"/>
          <w:lang w:val="de-DE"/>
        </w:rPr>
        <w:t>Gegen diese Entscheidung können Sie Einspruch erheben. Sie verfügen über eine Frist von sechzig Tagen ab Mitteilung der Entscheidung, um deren Nichtigerklärung vor dem Staatsrat zu beantragen. Dabei sind die entsprechenden Formvorschriften zu beachten: Insbesondere müssen Sie Ihren Namen, Eigenschaft und Wohnsitz, den Namen und Sitz der Gegenpartei (</w:t>
      </w:r>
      <w:r w:rsidRPr="00B8237D">
        <w:rPr>
          <w:rFonts w:cs="Verdana,Italic"/>
          <w:i/>
          <w:iCs/>
          <w:lang w:val="de-DE"/>
        </w:rPr>
        <w:t xml:space="preserve">Medienrat der Deutschsprachigen Gemeinschaft, </w:t>
      </w:r>
      <w:proofErr w:type="spellStart"/>
      <w:r w:rsidRPr="00B8237D">
        <w:rPr>
          <w:rFonts w:cs="Verdana,Italic"/>
          <w:i/>
          <w:iCs/>
          <w:lang w:val="de-DE"/>
        </w:rPr>
        <w:t>Gospertstraße</w:t>
      </w:r>
      <w:proofErr w:type="spellEnd"/>
      <w:r w:rsidRPr="00B8237D">
        <w:rPr>
          <w:rFonts w:cs="Verdana,Italic"/>
          <w:i/>
          <w:iCs/>
          <w:lang w:val="de-DE"/>
        </w:rPr>
        <w:t xml:space="preserve"> 1 in 4700 </w:t>
      </w:r>
      <w:proofErr w:type="spellStart"/>
      <w:r w:rsidRPr="00B8237D">
        <w:rPr>
          <w:rFonts w:cs="Verdana,Italic"/>
          <w:i/>
          <w:iCs/>
          <w:lang w:val="de-DE"/>
        </w:rPr>
        <w:t>Eupen</w:t>
      </w:r>
      <w:proofErr w:type="spellEnd"/>
      <w:r w:rsidRPr="00B8237D">
        <w:rPr>
          <w:lang w:val="de-DE"/>
        </w:rPr>
        <w:t xml:space="preserve">), den Antragsgegenstand sowie eine Darstellung des Sachverhalts und der Rechtsmittel angeben. Eine Kopie vorliegender Entscheidung ist beizufügen. Der mit Datum und Unterschrift versehene Antrag ist bei dem Staatsrat per Einschreiben einzureichen (Anschrift: </w:t>
      </w:r>
      <w:proofErr w:type="spellStart"/>
      <w:r w:rsidRPr="00B8237D">
        <w:rPr>
          <w:rFonts w:cs="Verdana,Italic"/>
          <w:i/>
          <w:iCs/>
          <w:lang w:val="de-DE"/>
        </w:rPr>
        <w:t>rue</w:t>
      </w:r>
      <w:proofErr w:type="spellEnd"/>
      <w:r w:rsidRPr="00B8237D">
        <w:rPr>
          <w:rFonts w:cs="Verdana,Italic"/>
          <w:i/>
          <w:iCs/>
          <w:lang w:val="de-DE"/>
        </w:rPr>
        <w:t xml:space="preserve"> de la Science 33, 1040 Brüssel</w:t>
      </w:r>
      <w:r w:rsidRPr="00B8237D">
        <w:rPr>
          <w:lang w:val="de-DE"/>
        </w:rPr>
        <w:t>)</w:t>
      </w:r>
      <w:r w:rsidRPr="005315BB">
        <w:rPr>
          <w:lang w:val="de-DE"/>
        </w:rPr>
        <w:t>.</w:t>
      </w:r>
    </w:p>
    <w:p w14:paraId="051DD5DF" w14:textId="77777777" w:rsidR="007466EF" w:rsidRPr="005315BB" w:rsidRDefault="007466EF">
      <w:pPr>
        <w:pStyle w:val="Opmaakprofiel1"/>
        <w:numPr>
          <w:ilvl w:val="0"/>
          <w:numId w:val="0"/>
        </w:numPr>
        <w:rPr>
          <w:lang w:val="de-DE"/>
        </w:rPr>
      </w:pPr>
    </w:p>
    <w:p w14:paraId="051DD5E0" w14:textId="77777777" w:rsidR="00572AB0" w:rsidRDefault="00572AB0" w:rsidP="00572AB0">
      <w:pPr>
        <w:pStyle w:val="berschrift1"/>
        <w:numPr>
          <w:ilvl w:val="0"/>
          <w:numId w:val="2"/>
        </w:numPr>
        <w:rPr>
          <w:bCs w:val="0"/>
          <w:noProof w:val="0"/>
          <w:szCs w:val="24"/>
        </w:rPr>
      </w:pPr>
      <w:bookmarkStart w:id="64" w:name="_Toc336002103"/>
      <w:bookmarkStart w:id="65" w:name="_Toc422491273"/>
      <w:bookmarkStart w:id="66" w:name="_Toc430001826"/>
      <w:r>
        <w:lastRenderedPageBreak/>
        <w:t>Signatures</w:t>
      </w:r>
      <w:bookmarkEnd w:id="64"/>
      <w:bookmarkEnd w:id="65"/>
      <w:bookmarkEnd w:id="66"/>
    </w:p>
    <w:p w14:paraId="051DD5E1" w14:textId="77777777" w:rsidR="002E222F" w:rsidRDefault="002E222F" w:rsidP="002E222F"/>
    <w:p w14:paraId="19115DD8" w14:textId="10978E1D" w:rsidR="005315BB" w:rsidRDefault="005315BB" w:rsidP="002E222F">
      <w:r>
        <w:t>Eupen, den</w:t>
      </w:r>
    </w:p>
    <w:p w14:paraId="4A49E9B4" w14:textId="77777777" w:rsidR="005315BB" w:rsidRDefault="005315BB" w:rsidP="002E222F"/>
    <w:p w14:paraId="21339B58" w14:textId="1EBD27F6" w:rsidR="005315BB" w:rsidRPr="002E222F" w:rsidRDefault="005315BB" w:rsidP="002E222F">
      <w:proofErr w:type="spellStart"/>
      <w:r>
        <w:t>Für</w:t>
      </w:r>
      <w:proofErr w:type="spellEnd"/>
      <w:r>
        <w:t xml:space="preserve"> die </w:t>
      </w:r>
      <w:proofErr w:type="spellStart"/>
      <w:r>
        <w:t>Beschlusskammer</w:t>
      </w:r>
      <w:proofErr w:type="spellEnd"/>
      <w:r>
        <w:t xml:space="preserve"> des </w:t>
      </w:r>
      <w:proofErr w:type="spellStart"/>
      <w:r>
        <w:t>Medienrates</w:t>
      </w:r>
      <w:proofErr w:type="spellEnd"/>
    </w:p>
    <w:tbl>
      <w:tblPr>
        <w:tblW w:w="0" w:type="auto"/>
        <w:tblLook w:val="01E0" w:firstRow="1" w:lastRow="1" w:firstColumn="1" w:lastColumn="1" w:noHBand="0" w:noVBand="0"/>
      </w:tblPr>
      <w:tblGrid>
        <w:gridCol w:w="4519"/>
        <w:gridCol w:w="4520"/>
      </w:tblGrid>
      <w:tr w:rsidR="00572AB0" w:rsidRPr="00C93199" w14:paraId="051DD5F4" w14:textId="77777777" w:rsidTr="00572AB0">
        <w:tc>
          <w:tcPr>
            <w:tcW w:w="4519" w:type="dxa"/>
            <w:vAlign w:val="center"/>
          </w:tcPr>
          <w:p w14:paraId="051DD5EA" w14:textId="3D9FE84F" w:rsidR="00572AB0" w:rsidRPr="00C93199" w:rsidRDefault="00572AB0" w:rsidP="00572AB0">
            <w:pPr>
              <w:jc w:val="center"/>
            </w:pPr>
          </w:p>
        </w:tc>
        <w:tc>
          <w:tcPr>
            <w:tcW w:w="4520" w:type="dxa"/>
            <w:vAlign w:val="center"/>
          </w:tcPr>
          <w:p w14:paraId="051DD5F3" w14:textId="59B2DB9C" w:rsidR="00572AB0" w:rsidRPr="00C93199" w:rsidRDefault="00572AB0" w:rsidP="00572AB0">
            <w:pPr>
              <w:jc w:val="center"/>
            </w:pPr>
          </w:p>
        </w:tc>
      </w:tr>
      <w:tr w:rsidR="00572AB0" w:rsidRPr="00C93199" w14:paraId="051DD607" w14:textId="77777777" w:rsidTr="00572AB0">
        <w:tc>
          <w:tcPr>
            <w:tcW w:w="4519" w:type="dxa"/>
            <w:vAlign w:val="center"/>
          </w:tcPr>
          <w:p w14:paraId="051DD5FD" w14:textId="22D87CCB" w:rsidR="00572AB0" w:rsidRPr="00C93199" w:rsidRDefault="00572AB0" w:rsidP="00572AB0">
            <w:pPr>
              <w:jc w:val="center"/>
            </w:pPr>
          </w:p>
        </w:tc>
        <w:tc>
          <w:tcPr>
            <w:tcW w:w="4520" w:type="dxa"/>
            <w:vAlign w:val="center"/>
          </w:tcPr>
          <w:p w14:paraId="051DD606" w14:textId="3A9FE31C" w:rsidR="00572AB0" w:rsidRPr="00C93199" w:rsidRDefault="00572AB0" w:rsidP="00572AB0">
            <w:pPr>
              <w:jc w:val="center"/>
            </w:pPr>
          </w:p>
        </w:tc>
      </w:tr>
    </w:tbl>
    <w:p w14:paraId="051DD608" w14:textId="77777777" w:rsidR="002E222F" w:rsidRPr="002E222F" w:rsidRDefault="002E222F" w:rsidP="002E222F"/>
    <w:sectPr w:rsidR="002E222F" w:rsidRPr="002E222F" w:rsidSect="0036572B">
      <w:pgSz w:w="11906" w:h="16838" w:code="9"/>
      <w:pgMar w:top="1440" w:right="1440" w:bottom="1440" w:left="1440" w:header="720"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998E5" w14:textId="77777777" w:rsidR="00D960EE" w:rsidRDefault="00D960EE" w:rsidP="00311247">
      <w:r>
        <w:separator/>
      </w:r>
    </w:p>
  </w:endnote>
  <w:endnote w:type="continuationSeparator" w:id="0">
    <w:p w14:paraId="13389C1D" w14:textId="77777777" w:rsidR="00D960EE" w:rsidRDefault="00D960EE" w:rsidP="00311247">
      <w:r>
        <w:continuationSeparator/>
      </w:r>
    </w:p>
  </w:endnote>
  <w:endnote w:type="continuationNotice" w:id="1">
    <w:p w14:paraId="420EF572" w14:textId="77777777" w:rsidR="00D960EE" w:rsidRDefault="00D96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D61C" w14:textId="77777777" w:rsidR="00D960EE" w:rsidRPr="004E0FA5" w:rsidRDefault="00D960EE" w:rsidP="00E1047F">
    <w:pPr>
      <w:pStyle w:val="Fuzeile"/>
      <w:jc w:val="right"/>
    </w:pPr>
    <w:r>
      <w:fldChar w:fldCharType="begin"/>
    </w:r>
    <w:r>
      <w:instrText xml:space="preserve"> PAGE \* MERGEFORMAT </w:instrText>
    </w:r>
    <w:r>
      <w:fldChar w:fldCharType="separate"/>
    </w:r>
    <w:r w:rsidR="007C3387">
      <w:rPr>
        <w:noProof/>
      </w:rPr>
      <w:t>2</w:t>
    </w:r>
    <w:r>
      <w:rPr>
        <w:noProof/>
      </w:rPr>
      <w:fldChar w:fldCharType="end"/>
    </w:r>
  </w:p>
  <w:p w14:paraId="051DD61D" w14:textId="77777777" w:rsidR="00D960EE" w:rsidRPr="00752AB8" w:rsidRDefault="00D960EE" w:rsidP="00B53C8E">
    <w:pPr>
      <w:pStyle w:val="Fuzeile"/>
      <w:tabs>
        <w:tab w:val="clear" w:pos="4536"/>
        <w:tab w:val="clear" w:pos="9072"/>
      </w:tabs>
      <w:spacing w:line="180" w:lineRule="exact"/>
      <w:jc w:val="center"/>
      <w:rPr>
        <w:rFonts w:ascii="Calibri" w:hAnsi="Calibri"/>
        <w:color w:val="00999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D61E" w14:textId="77777777" w:rsidR="00D960EE" w:rsidRPr="004E0FA5" w:rsidRDefault="00D960EE" w:rsidP="00B53C8E">
    <w:pPr>
      <w:pStyle w:val="Fuzeile"/>
      <w:jc w:val="right"/>
    </w:pPr>
    <w:r>
      <w:fldChar w:fldCharType="begin"/>
    </w:r>
    <w:r>
      <w:instrText xml:space="preserve"> PAGE \* MERGEFORMAT </w:instrText>
    </w:r>
    <w:r>
      <w:fldChar w:fldCharType="separate"/>
    </w:r>
    <w:r w:rsidR="007C3387">
      <w:rPr>
        <w:noProof/>
      </w:rPr>
      <w:t>7</w:t>
    </w:r>
    <w:r>
      <w:rPr>
        <w:noProof/>
      </w:rPr>
      <w:fldChar w:fldCharType="end"/>
    </w:r>
  </w:p>
  <w:p w14:paraId="051DD61F" w14:textId="77777777" w:rsidR="00D960EE" w:rsidRDefault="00D960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D620" w14:textId="77777777" w:rsidR="00D960EE" w:rsidRPr="004E0FA5" w:rsidRDefault="00D960EE" w:rsidP="00E1047F">
    <w:pPr>
      <w:pStyle w:val="Fuzeile"/>
      <w:jc w:val="right"/>
    </w:pPr>
    <w:r>
      <w:fldChar w:fldCharType="begin"/>
    </w:r>
    <w:r>
      <w:instrText xml:space="preserve"> PAGE \* MERGEFORMAT </w:instrText>
    </w:r>
    <w:r>
      <w:fldChar w:fldCharType="separate"/>
    </w:r>
    <w:r w:rsidR="007C3387">
      <w:rPr>
        <w:noProof/>
      </w:rPr>
      <w:t>2</w:t>
    </w:r>
    <w:r>
      <w:rPr>
        <w:noProof/>
      </w:rPr>
      <w:fldChar w:fldCharType="end"/>
    </w:r>
  </w:p>
  <w:p w14:paraId="051DD621" w14:textId="77777777" w:rsidR="00D960EE" w:rsidRDefault="00D960EE" w:rsidP="00B53C8E">
    <w:pPr>
      <w:pStyle w:val="Fuzeile"/>
      <w:tabs>
        <w:tab w:val="clear" w:pos="4536"/>
        <w:tab w:val="clear" w:pos="9072"/>
      </w:tabs>
      <w:spacing w:line="180" w:lineRule="exact"/>
      <w:jc w:val="center"/>
      <w:rPr>
        <w:rFonts w:ascii="Calibri" w:hAnsi="Calibri"/>
        <w:b/>
        <w:color w:val="009999"/>
        <w:spacing w:val="10"/>
        <w:sz w:val="17"/>
        <w:szCs w:val="17"/>
      </w:rPr>
    </w:pPr>
  </w:p>
  <w:p w14:paraId="051DD622" w14:textId="77777777" w:rsidR="00D960EE" w:rsidRPr="008D60C3" w:rsidRDefault="00D960EE" w:rsidP="00B53C8E">
    <w:pPr>
      <w:pStyle w:val="Fuzeile"/>
      <w:tabs>
        <w:tab w:val="clear" w:pos="4536"/>
        <w:tab w:val="clear" w:pos="9072"/>
      </w:tabs>
      <w:spacing w:line="180" w:lineRule="exact"/>
      <w:jc w:val="center"/>
      <w:rPr>
        <w:rFonts w:ascii="Calibri" w:hAnsi="Calibri"/>
        <w:color w:val="009999"/>
        <w:sz w:val="16"/>
        <w:szCs w:val="16"/>
      </w:rPr>
    </w:pPr>
  </w:p>
  <w:p w14:paraId="051DD623" w14:textId="77777777" w:rsidR="00D960EE" w:rsidRDefault="00D960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3C489" w14:textId="77777777" w:rsidR="00D960EE" w:rsidRDefault="00D960EE" w:rsidP="00311247">
      <w:r>
        <w:separator/>
      </w:r>
    </w:p>
  </w:footnote>
  <w:footnote w:type="continuationSeparator" w:id="0">
    <w:p w14:paraId="727A0BD7" w14:textId="77777777" w:rsidR="00D960EE" w:rsidRDefault="00D960EE" w:rsidP="00311247">
      <w:r>
        <w:continuationSeparator/>
      </w:r>
    </w:p>
  </w:footnote>
  <w:footnote w:type="continuationNotice" w:id="1">
    <w:p w14:paraId="6063337B" w14:textId="77777777" w:rsidR="00D960EE" w:rsidRDefault="00D960EE"/>
  </w:footnote>
  <w:footnote w:id="2">
    <w:p w14:paraId="051DD624" w14:textId="427F7066" w:rsidR="00D960EE" w:rsidRPr="008C7F6A" w:rsidRDefault="00D960EE">
      <w:pPr>
        <w:pStyle w:val="Funotentext"/>
      </w:pPr>
      <w:r>
        <w:rPr>
          <w:rStyle w:val="Funotenzeichen"/>
        </w:rPr>
        <w:footnoteRef/>
      </w:r>
      <w:r>
        <w:t xml:space="preserve"> Décision de la CRC du 1er juillet 2011 concernant l’analyse du marché radiodiffusion télévisuelle sur le territoire de la région de langue allemande.</w:t>
      </w:r>
    </w:p>
  </w:footnote>
  <w:footnote w:id="3">
    <w:p w14:paraId="6887A2A1" w14:textId="2891E622" w:rsidR="00D960EE" w:rsidRPr="00ED3831" w:rsidRDefault="00D960EE" w:rsidP="002F6527">
      <w:pPr>
        <w:pStyle w:val="Funotentext"/>
      </w:pPr>
      <w:r>
        <w:rPr>
          <w:rStyle w:val="Funotenzeichen"/>
        </w:rPr>
        <w:footnoteRef/>
      </w:r>
      <w:r w:rsidRPr="00ED3831">
        <w:t xml:space="preserve"> </w:t>
      </w:r>
      <w:r>
        <w:t>Dé</w:t>
      </w:r>
      <w:r w:rsidRPr="002F6527">
        <w:t xml:space="preserve">cision de la </w:t>
      </w:r>
      <w:r>
        <w:t>Conférence des R</w:t>
      </w:r>
      <w:r w:rsidRPr="002F6527">
        <w:t>égulateurs du secteur des communications électroniques (</w:t>
      </w:r>
      <w:r>
        <w:t>CRC</w:t>
      </w:r>
      <w:r w:rsidRPr="002F6527">
        <w:t>)</w:t>
      </w:r>
      <w:r>
        <w:t xml:space="preserve"> </w:t>
      </w:r>
      <w:r w:rsidRPr="002F6527">
        <w:t>du 3 septembre 2013</w:t>
      </w:r>
      <w:r>
        <w:t xml:space="preserve"> </w:t>
      </w:r>
      <w:r w:rsidRPr="002F6527">
        <w:t xml:space="preserve">concernant l'offre de référence de gros de </w:t>
      </w:r>
      <w:proofErr w:type="spellStart"/>
      <w:r>
        <w:t>Tecteo</w:t>
      </w:r>
      <w:proofErr w:type="spellEnd"/>
      <w:r>
        <w:t xml:space="preserve"> dans la région de langue allemande.</w:t>
      </w:r>
    </w:p>
  </w:footnote>
  <w:footnote w:id="4">
    <w:p w14:paraId="051DD625" w14:textId="0FB157E5" w:rsidR="00D960EE" w:rsidRPr="00401F14" w:rsidRDefault="00D960EE" w:rsidP="004E0F54">
      <w:pPr>
        <w:pStyle w:val="Funotentext"/>
      </w:pPr>
      <w:r>
        <w:rPr>
          <w:rStyle w:val="Funotenzeichen"/>
        </w:rPr>
        <w:footnoteRef/>
      </w:r>
      <w:r>
        <w:t xml:space="preserve"> A cet égard, voir </w:t>
      </w:r>
      <w:hyperlink r:id="rId1">
        <w:r w:rsidRPr="00401F14">
          <w:rPr>
            <w:rStyle w:val="Hyperlink"/>
          </w:rPr>
          <w:t>http://www.bipt.be/fr/operateurs/telecom/marches/radiodiffusion/offres-de-reference-cablo-operateurs/communication-concernant-les-offres-de-references-du-cable</w:t>
        </w:r>
      </w:hyperlink>
      <w:r w:rsidRPr="00401F14">
        <w:t xml:space="preserve"> </w:t>
      </w:r>
    </w:p>
  </w:footnote>
  <w:footnote w:id="5">
    <w:p w14:paraId="051DD626" w14:textId="1BCBF050" w:rsidR="00D960EE" w:rsidRPr="008C7F6A" w:rsidRDefault="00D960EE" w:rsidP="00F9462C">
      <w:pPr>
        <w:pStyle w:val="Funotentext"/>
      </w:pPr>
      <w:r>
        <w:rPr>
          <w:rStyle w:val="Funotenzeichen"/>
        </w:rPr>
        <w:footnoteRef/>
      </w:r>
      <w:r>
        <w:t xml:space="preserve"> Décret du 27 juin 2005 sur les services de médias audiovisuels et les représentations cinématographiques, </w:t>
      </w:r>
      <w:r>
        <w:rPr>
          <w:i/>
        </w:rPr>
        <w:t>M.B.</w:t>
      </w:r>
      <w:r>
        <w:t xml:space="preserve"> 6 septembre 2005, p. 38892. </w:t>
      </w:r>
    </w:p>
  </w:footnote>
  <w:footnote w:id="6">
    <w:p w14:paraId="051DD627" w14:textId="77777777" w:rsidR="00D960EE" w:rsidRPr="008C7F6A" w:rsidRDefault="00D960EE" w:rsidP="00124E11">
      <w:pPr>
        <w:pStyle w:val="Funotentext"/>
      </w:pPr>
      <w:r>
        <w:rPr>
          <w:rStyle w:val="Funotenzeichen"/>
        </w:rPr>
        <w:footnoteRef/>
      </w:r>
      <w:r>
        <w:t xml:space="preserve"> Voir la décision de la CRC du 3 septembre 2013.</w:t>
      </w:r>
    </w:p>
  </w:footnote>
  <w:footnote w:id="7">
    <w:p w14:paraId="051DD628" w14:textId="77777777" w:rsidR="00D960EE" w:rsidRPr="008C7F6A" w:rsidRDefault="00D960EE">
      <w:pPr>
        <w:pStyle w:val="Funotentext"/>
      </w:pPr>
      <w:r>
        <w:rPr>
          <w:rStyle w:val="Funotenzeichen"/>
        </w:rPr>
        <w:footnoteRef/>
      </w:r>
      <w:r>
        <w:t xml:space="preserve"> Network Interface Unit</w:t>
      </w:r>
    </w:p>
  </w:footnote>
  <w:footnote w:id="8">
    <w:p w14:paraId="051DD629" w14:textId="21FF914B" w:rsidR="00D960EE" w:rsidRPr="008C7F6A" w:rsidRDefault="00D960EE">
      <w:pPr>
        <w:pStyle w:val="Funotentext"/>
      </w:pPr>
      <w:r>
        <w:rPr>
          <w:rStyle w:val="Funotenzeichen"/>
        </w:rPr>
        <w:footnoteRef/>
      </w:r>
      <w:r>
        <w:t xml:space="preserve"> Conformément au § </w:t>
      </w:r>
      <w:r w:rsidR="007C3387">
        <w:t>367</w:t>
      </w:r>
      <w:r>
        <w:t xml:space="preserve"> de la décision de la CRC du 3 septembre 2013.</w:t>
      </w:r>
    </w:p>
  </w:footnote>
  <w:footnote w:id="9">
    <w:p w14:paraId="051DD62A" w14:textId="2328B553" w:rsidR="00D960EE" w:rsidRPr="008C7F6A" w:rsidRDefault="00D960EE">
      <w:pPr>
        <w:pStyle w:val="Funotentext"/>
      </w:pPr>
      <w:r>
        <w:rPr>
          <w:rStyle w:val="Funotenzeichen"/>
        </w:rPr>
        <w:footnoteRef/>
      </w:r>
      <w:r>
        <w:t xml:space="preserve"> Conformément aux §§ </w:t>
      </w:r>
      <w:r w:rsidR="007C3387">
        <w:t>378</w:t>
      </w:r>
      <w:r>
        <w:t xml:space="preserve">, </w:t>
      </w:r>
      <w:r w:rsidR="007C3387">
        <w:t>386</w:t>
      </w:r>
      <w:r>
        <w:t xml:space="preserve">, </w:t>
      </w:r>
      <w:r w:rsidR="007C3387">
        <w:t>387</w:t>
      </w:r>
      <w:r>
        <w:t xml:space="preserve"> et </w:t>
      </w:r>
      <w:r w:rsidR="007C3387">
        <w:t>394</w:t>
      </w:r>
      <w:bookmarkStart w:id="8" w:name="_GoBack"/>
      <w:bookmarkEnd w:id="8"/>
      <w:r>
        <w:t xml:space="preserve"> de la décision de la CRC du 3 septembre 2013.</w:t>
      </w:r>
    </w:p>
  </w:footnote>
  <w:footnote w:id="10">
    <w:p w14:paraId="051DD62B" w14:textId="77777777" w:rsidR="00D960EE" w:rsidRPr="008C7F6A" w:rsidRDefault="00D960EE" w:rsidP="00572AB0">
      <w:pPr>
        <w:pStyle w:val="Funotentext"/>
      </w:pPr>
      <w:r>
        <w:rPr>
          <w:rStyle w:val="Funotenzeichen"/>
        </w:rPr>
        <w:footnoteRef/>
      </w:r>
      <w:r>
        <w:t xml:space="preserve"> Accord de coopération du 17 novembre 2006 entre l’État fédéral, la Communauté flamande, la Communauté française et la Communauté germanophone relatif à la consultation mutuelle lors de l’élaboration d’une législation en matière de réseaux de communications électroniques, lors de l’échange d’informations et lors de l’exercice des compétences en matière de réseaux de communications électroniques par les autorités de régulation en charge des télécommunications ou de la radiodiffusion et la télévision, </w:t>
      </w:r>
      <w:r>
        <w:rPr>
          <w:i/>
        </w:rPr>
        <w:t>M.B.</w:t>
      </w:r>
      <w:r>
        <w:t xml:space="preserve"> 28 décembre 2006, 75371.</w:t>
      </w:r>
    </w:p>
  </w:footnote>
  <w:footnote w:id="11">
    <w:p w14:paraId="051DD62C" w14:textId="5C587967" w:rsidR="00D960EE" w:rsidRPr="008C7F6A" w:rsidRDefault="00D960EE" w:rsidP="00572AB0">
      <w:pPr>
        <w:pStyle w:val="Funotentext"/>
      </w:pPr>
      <w:r>
        <w:rPr>
          <w:rStyle w:val="Funotenzeichen"/>
        </w:rPr>
        <w:footnoteRef/>
      </w:r>
      <w:r>
        <w:t xml:space="preserve"> Article 72</w:t>
      </w:r>
      <w:r w:rsidR="00C444FE">
        <w:t xml:space="preserve"> du décret du 27 juin 2005.</w:t>
      </w:r>
    </w:p>
  </w:footnote>
  <w:footnote w:id="12">
    <w:p w14:paraId="051DD62D" w14:textId="7286B4C7" w:rsidR="00D960EE" w:rsidRPr="008C7F6A" w:rsidRDefault="00D960EE" w:rsidP="00572AB0">
      <w:pPr>
        <w:pStyle w:val="Funotentext"/>
      </w:pPr>
      <w:r>
        <w:rPr>
          <w:rStyle w:val="Funotenzeichen"/>
        </w:rPr>
        <w:footnoteRef/>
      </w:r>
      <w:r>
        <w:t xml:space="preserve"> Décision de la CRC du 1er juillet 2011 concernant l’analyse du marché radiodiffusion télévisuelle sur le territoire de la région de langue allemande, §§ 692, 774 et 878.</w:t>
      </w:r>
    </w:p>
  </w:footnote>
  <w:footnote w:id="13">
    <w:p w14:paraId="051DD62E" w14:textId="0780A907" w:rsidR="00D960EE" w:rsidRPr="008C7F6A" w:rsidRDefault="00D960EE" w:rsidP="00572AB0">
      <w:pPr>
        <w:pStyle w:val="Funotentext"/>
      </w:pPr>
      <w:r>
        <w:rPr>
          <w:rStyle w:val="Funotenzeichen"/>
        </w:rPr>
        <w:footnoteRef/>
      </w:r>
      <w:r>
        <w:t xml:space="preserve"> Décision de la CRC du 1er juillet 2011 concernant l’analyse du marché radiodiffusion télévisuelle sur le territoire de la région de langue allemande, §§ 694, 776 et 880.</w:t>
      </w:r>
    </w:p>
  </w:footnote>
  <w:footnote w:id="14">
    <w:p w14:paraId="051DD62F" w14:textId="6A8AE63D" w:rsidR="00D960EE" w:rsidRPr="008C7F6A" w:rsidRDefault="00D960EE" w:rsidP="002C70FA">
      <w:pPr>
        <w:pStyle w:val="Funotentext"/>
      </w:pPr>
      <w:r>
        <w:rPr>
          <w:rStyle w:val="Funotenzeichen"/>
        </w:rPr>
        <w:footnoteRef/>
      </w:r>
      <w:r>
        <w:t xml:space="preserve"> Voir § 780 de la décision de la CRC : </w:t>
      </w:r>
      <w:r>
        <w:rPr>
          <w:i/>
        </w:rPr>
        <w:t>« L'existence d'une offre de référence permet de garantir aux opérateurs alternatifs une lisibilité sur l'architecture technique et les conditions économiques et tarifaires des offres de gros de l'opérateur puissant. Elle permet également de faciliter les négociations contractuelles car ces négociations peuvent se baser sur des conditions connues de toutes les parties. Elle permet par ailleurs d'assurer le respect des autres obligations, notamment celle de non-discrimination et le respect des engagements tarifaires de l'opérateur puissant. »</w:t>
      </w:r>
    </w:p>
  </w:footnote>
  <w:footnote w:id="15">
    <w:p w14:paraId="051DD630" w14:textId="6A0C3B68" w:rsidR="00D960EE" w:rsidRPr="008C7F6A" w:rsidRDefault="00D960EE" w:rsidP="00572AB0">
      <w:pPr>
        <w:pStyle w:val="Funotentext"/>
      </w:pPr>
      <w:r>
        <w:rPr>
          <w:rStyle w:val="Funotenzeichen"/>
        </w:rPr>
        <w:footnoteRef/>
      </w:r>
      <w:r>
        <w:t xml:space="preserve"> Décision de la CRC du 1er juillet 2011 concernant l’analyse du marché radiodiffusion télévisuelle sur le territoire de la région de langue allemande, §§ 686, 770 et 874.</w:t>
      </w:r>
    </w:p>
  </w:footnote>
  <w:footnote w:id="16">
    <w:p w14:paraId="051DD632" w14:textId="261C36A6" w:rsidR="00D960EE" w:rsidRPr="008C7F6A" w:rsidRDefault="00D960EE" w:rsidP="00572AB0">
      <w:pPr>
        <w:pStyle w:val="Funotentext"/>
      </w:pPr>
      <w:r>
        <w:rPr>
          <w:rStyle w:val="Funotenzeichen"/>
        </w:rPr>
        <w:footnoteRef/>
      </w:r>
      <w:r>
        <w:t xml:space="preserve"> Décision de la CRC du 1er juillet 2011 concernant l’analyse du marché radiodiffusion télévisuelle sur le territoire de la région de langue allemande, §§ 687, 771 et 875.</w:t>
      </w:r>
    </w:p>
  </w:footnote>
  <w:footnote w:id="17">
    <w:p w14:paraId="051DD633" w14:textId="77777777" w:rsidR="00D960EE" w:rsidRPr="008C7F6A" w:rsidRDefault="00D960EE">
      <w:pPr>
        <w:pStyle w:val="Funotentext"/>
      </w:pPr>
      <w:r>
        <w:rPr>
          <w:rStyle w:val="Funotenzeichen"/>
        </w:rPr>
        <w:footnoteRef/>
      </w:r>
      <w:r>
        <w:t xml:space="preserve"> Voir la Décision de la Conférence des régulateurs du secteur des communications électroniques du 3 septembre 2013 concernant l'offre de référence de gros de Telenet dans la Région bilingue de Bruxelles-Capitale.</w:t>
      </w:r>
    </w:p>
  </w:footnote>
  <w:footnote w:id="18">
    <w:p w14:paraId="051DD634" w14:textId="77777777" w:rsidR="00D960EE" w:rsidRPr="008C7F6A" w:rsidRDefault="00D960EE">
      <w:pPr>
        <w:pStyle w:val="Funotentext"/>
      </w:pPr>
      <w:r>
        <w:rPr>
          <w:rStyle w:val="Funotenzeichen"/>
        </w:rPr>
        <w:footnoteRef/>
      </w:r>
      <w:r>
        <w:t xml:space="preserve"> Dans cette phase du processus de commande, l'on vérifie si le client peut recevoir les services demandés à l'adresse indiquée.  Le résultat de cette vérification peut être positif ou indiquer qu'il est nécessaire d'effectuer certains travaux pour que les services puissent être fournis.</w:t>
      </w:r>
    </w:p>
  </w:footnote>
  <w:footnote w:id="19">
    <w:p w14:paraId="051DD635" w14:textId="77777777" w:rsidR="00D960EE" w:rsidRPr="008C7F6A" w:rsidRDefault="00D960EE">
      <w:pPr>
        <w:pStyle w:val="Funotentext"/>
      </w:pPr>
      <w:r>
        <w:rPr>
          <w:rStyle w:val="Funotenzeichen"/>
        </w:rPr>
        <w:footnoteRef/>
      </w:r>
      <w:r>
        <w:t xml:space="preserve"> § 300, § 383, § 385, § 404, § 409</w:t>
      </w:r>
    </w:p>
  </w:footnote>
  <w:footnote w:id="20">
    <w:p w14:paraId="051DD636" w14:textId="77777777" w:rsidR="00D960EE" w:rsidRPr="008C7F6A" w:rsidRDefault="00D960EE">
      <w:pPr>
        <w:pStyle w:val="Funotentext"/>
      </w:pPr>
      <w:r>
        <w:rPr>
          <w:rStyle w:val="Funotenzeichen"/>
        </w:rPr>
        <w:footnoteRef/>
      </w:r>
      <w:r>
        <w:t xml:space="preserve"> Décision de la CRC du 3 septembre 2013.</w:t>
      </w:r>
    </w:p>
  </w:footnote>
  <w:footnote w:id="21">
    <w:p w14:paraId="051DD637" w14:textId="1CD33370" w:rsidR="00D960EE" w:rsidRPr="008C7F6A" w:rsidRDefault="00D960EE">
      <w:pPr>
        <w:pStyle w:val="Funotentext"/>
      </w:pPr>
      <w:r>
        <w:rPr>
          <w:rStyle w:val="Funotenzeichen"/>
        </w:rPr>
        <w:footnoteRef/>
      </w:r>
      <w:r>
        <w:t xml:space="preserve"> Un protocole entre le bénéficiaire et </w:t>
      </w:r>
      <w:proofErr w:type="spellStart"/>
      <w:r w:rsidR="00C444FE">
        <w:t>Nethys</w:t>
      </w:r>
      <w:proofErr w:type="spellEnd"/>
      <w:r w:rsidR="00C444FE">
        <w:t xml:space="preserve"> </w:t>
      </w:r>
      <w:r>
        <w:t>dans lequel le bénéficiaire indique le nombre d'installations et de nouveaux clients auquel il s'attend pour les six prochains mois.</w:t>
      </w:r>
    </w:p>
  </w:footnote>
  <w:footnote w:id="22">
    <w:p w14:paraId="051DD638" w14:textId="77777777" w:rsidR="00D960EE" w:rsidRPr="008C7F6A" w:rsidRDefault="00D960EE">
      <w:pPr>
        <w:pStyle w:val="Funotentext"/>
      </w:pPr>
      <w:r>
        <w:rPr>
          <w:rStyle w:val="Funotenzeichen"/>
        </w:rPr>
        <w:footnoteRef/>
      </w:r>
      <w:r>
        <w:t xml:space="preserve"> Décision de la CRC du 3 septembre 2013.</w:t>
      </w:r>
    </w:p>
  </w:footnote>
  <w:footnote w:id="23">
    <w:p w14:paraId="051DD639" w14:textId="77777777" w:rsidR="00D960EE" w:rsidRPr="008C7F6A" w:rsidRDefault="00D960EE">
      <w:pPr>
        <w:pStyle w:val="Funotentext"/>
      </w:pPr>
      <w:r>
        <w:rPr>
          <w:rStyle w:val="Funotenzeichen"/>
        </w:rPr>
        <w:footnoteRef/>
      </w:r>
      <w:r>
        <w:t xml:space="preserve"> Ce document comprend la confirmation signée du client final qu'il souhaite transférer ses services vers le titulaire du document. En d'autres termes, le bénéficiaire doit disposer, pour toute migration, d'une Letter of Authority du client final concerné.</w:t>
      </w:r>
    </w:p>
  </w:footnote>
  <w:footnote w:id="24">
    <w:p w14:paraId="0649A167" w14:textId="77777777" w:rsidR="00D960EE" w:rsidRPr="00AD2D8C" w:rsidRDefault="00D960EE" w:rsidP="00332507">
      <w:pPr>
        <w:pStyle w:val="Funotentext"/>
        <w:rPr>
          <w:lang w:val="en-US"/>
        </w:rPr>
      </w:pPr>
      <w:r>
        <w:rPr>
          <w:rStyle w:val="Funotenzeichen"/>
        </w:rPr>
        <w:footnoteRef/>
      </w:r>
      <w:r w:rsidRPr="00AD2D8C">
        <w:rPr>
          <w:lang w:val="en-US"/>
        </w:rPr>
        <w:t xml:space="preserve"> </w:t>
      </w:r>
      <w:proofErr w:type="spellStart"/>
      <w:r w:rsidRPr="00AD2D8C">
        <w:rPr>
          <w:lang w:val="en-US"/>
        </w:rPr>
        <w:t>Toudoo</w:t>
      </w:r>
      <w:proofErr w:type="spellEnd"/>
      <w:r w:rsidRPr="00AD2D8C">
        <w:rPr>
          <w:lang w:val="en-US"/>
        </w:rPr>
        <w:t xml:space="preserve">: download: 50Mbps, upload: 2.5Mbps, volume: 100GB </w:t>
      </w:r>
    </w:p>
  </w:footnote>
  <w:footnote w:id="25">
    <w:p w14:paraId="51C19C4C" w14:textId="77777777" w:rsidR="00D960EE" w:rsidRPr="00AD2D8C" w:rsidRDefault="00D960EE" w:rsidP="00332507">
      <w:pPr>
        <w:pStyle w:val="Funotentext"/>
        <w:rPr>
          <w:lang w:val="en-US"/>
        </w:rPr>
      </w:pPr>
      <w:r>
        <w:rPr>
          <w:rStyle w:val="Funotenzeichen"/>
        </w:rPr>
        <w:footnoteRef/>
      </w:r>
      <w:r w:rsidRPr="00AD2D8C">
        <w:rPr>
          <w:lang w:val="en-US"/>
        </w:rPr>
        <w:t xml:space="preserve"> </w:t>
      </w:r>
      <w:r>
        <w:rPr>
          <w:lang w:val="en-US"/>
        </w:rPr>
        <w:t>Wah</w:t>
      </w:r>
      <w:r w:rsidRPr="007B4A9E">
        <w:rPr>
          <w:lang w:val="en-US"/>
        </w:rPr>
        <w:t xml:space="preserve">oo: download: </w:t>
      </w:r>
      <w:r>
        <w:rPr>
          <w:lang w:val="en-US"/>
        </w:rPr>
        <w:t>10</w:t>
      </w:r>
      <w:r w:rsidRPr="007B4A9E">
        <w:rPr>
          <w:lang w:val="en-US"/>
        </w:rPr>
        <w:t xml:space="preserve">0Mbps, upload: 5Mbps, volume: </w:t>
      </w:r>
      <w:proofErr w:type="spellStart"/>
      <w:r>
        <w:rPr>
          <w:lang w:val="en-US"/>
        </w:rPr>
        <w:t>ongelimiteerd</w:t>
      </w:r>
      <w:proofErr w:type="spellEnd"/>
    </w:p>
  </w:footnote>
  <w:footnote w:id="26">
    <w:p w14:paraId="0B95EC13" w14:textId="77777777" w:rsidR="00D960EE" w:rsidRPr="00AD2D8C" w:rsidRDefault="00D960EE" w:rsidP="00332507">
      <w:pPr>
        <w:pStyle w:val="Funotentext"/>
        <w:rPr>
          <w:lang w:val="en-US"/>
        </w:rPr>
      </w:pPr>
      <w:r>
        <w:rPr>
          <w:rStyle w:val="Funotenzeichen"/>
        </w:rPr>
        <w:footnoteRef/>
      </w:r>
      <w:r w:rsidRPr="00AD2D8C">
        <w:rPr>
          <w:lang w:val="en-US"/>
        </w:rPr>
        <w:t xml:space="preserve"> </w:t>
      </w:r>
      <w:proofErr w:type="spellStart"/>
      <w:r w:rsidRPr="007B4A9E">
        <w:rPr>
          <w:lang w:val="en-US"/>
        </w:rPr>
        <w:t>T</w:t>
      </w:r>
      <w:r>
        <w:rPr>
          <w:lang w:val="en-US"/>
        </w:rPr>
        <w:t>at</w:t>
      </w:r>
      <w:r w:rsidRPr="007B4A9E">
        <w:rPr>
          <w:lang w:val="en-US"/>
        </w:rPr>
        <w:t>oo</w:t>
      </w:r>
      <w:proofErr w:type="spellEnd"/>
      <w:r w:rsidRPr="007B4A9E">
        <w:rPr>
          <w:lang w:val="en-US"/>
        </w:rPr>
        <w:t xml:space="preserve">: download: </w:t>
      </w:r>
      <w:r>
        <w:rPr>
          <w:lang w:val="en-US"/>
        </w:rPr>
        <w:t>1</w:t>
      </w:r>
      <w:r w:rsidRPr="007B4A9E">
        <w:rPr>
          <w:lang w:val="en-US"/>
        </w:rPr>
        <w:t xml:space="preserve">50Mbps, upload: </w:t>
      </w:r>
      <w:r>
        <w:rPr>
          <w:lang w:val="en-US"/>
        </w:rPr>
        <w:t>7</w:t>
      </w:r>
      <w:r w:rsidRPr="007B4A9E">
        <w:rPr>
          <w:lang w:val="en-US"/>
        </w:rPr>
        <w:t xml:space="preserve">.5Mbps, volume: </w:t>
      </w:r>
      <w:proofErr w:type="spellStart"/>
      <w:r>
        <w:rPr>
          <w:lang w:val="en-US"/>
        </w:rPr>
        <w:t>ongelimiteerd</w:t>
      </w:r>
      <w:proofErr w:type="spellEnd"/>
    </w:p>
  </w:footnote>
  <w:footnote w:id="27">
    <w:p w14:paraId="62749DDC" w14:textId="1A8CB28F" w:rsidR="00D960EE" w:rsidRPr="00370025" w:rsidRDefault="00D960EE" w:rsidP="00332507">
      <w:pPr>
        <w:pStyle w:val="Funotentext"/>
      </w:pPr>
      <w:r>
        <w:rPr>
          <w:rStyle w:val="Funotenzeichen"/>
        </w:rPr>
        <w:footnoteRef/>
      </w:r>
      <w:r>
        <w:t xml:space="preserve"> </w:t>
      </w:r>
      <w:r w:rsidR="005315BB">
        <w:t>Le MEDIENRAT</w:t>
      </w:r>
      <w:r>
        <w:t xml:space="preserve"> vise ici le cas où il y a plusieurs bénéficiaires. Si par exemple un nouveau bénéficiaire souhaite utiliser l'offre de référence, celui-ci doit aussi pouvoir faire appel, pour le développement de son offre de services, aux profils du pool commun et éventuellement les adapter. Comme a pu le faire également le premier bénéficiaire. Il est donc important que les parties concernées puissent parvenir à un consensus afin qu'elles puissent toutes disposer d'un certain espace concurrentiel.</w:t>
      </w:r>
    </w:p>
  </w:footnote>
  <w:footnote w:id="28">
    <w:p w14:paraId="051DD63A" w14:textId="18F9B726" w:rsidR="00D960EE" w:rsidRPr="008C7F6A" w:rsidRDefault="00D960EE" w:rsidP="00CE1866">
      <w:pPr>
        <w:pStyle w:val="Funotentext"/>
      </w:pPr>
      <w:r>
        <w:rPr>
          <w:rStyle w:val="Funotenzeichen"/>
        </w:rPr>
        <w:footnoteRef/>
      </w:r>
      <w:r>
        <w:t xml:space="preserve"> Conformément au § </w:t>
      </w:r>
      <w:r w:rsidR="005315BB">
        <w:t>888</w:t>
      </w:r>
      <w:r>
        <w:t xml:space="preserve"> de la décision de la CRC du 1er juillet 2011 : « </w:t>
      </w:r>
      <w:r w:rsidR="005315BB">
        <w:t>Le MEDIENRAT</w:t>
      </w:r>
      <w:r>
        <w:t xml:space="preserve"> estime qu'il est nécessaire que chaque modification à l'offre de référence de gros de l'opérateur PSM soit publiée quelques mois avant que l'opérateur PSM ne puisse utiliser la nouvelle configuration en question pour que les opérateurs alternatifs soient en mesure d'offrir à temps les services de détail basés sur les offres de gros adaptées de l'opérateur PSM qui sont équivalents aux services de détail de l'opérateur PSM. Il n'existe à ce jour pas encore d'offre de gros en matière d'accès à une offre de revente de l'offre d'accès haut débit mais il a été estimé par la plupart des parties dans le cadre des offres bitstream de gros de Belgacom que le délai de maximum 6 mois était nécessaire pour adapter les systèmes opérationnels suite à une adaptation de l'offre de gros. </w:t>
      </w:r>
      <w:r w:rsidR="005315BB">
        <w:t>Le MEDIENRAT</w:t>
      </w:r>
      <w:r>
        <w:t xml:space="preserve"> estime qu'il n'y a pas de raison qu'il en aille autrement dans le cadre de l'offre de gros pour l'accès à une offre de revente de l'offre d'accès haut débit.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7856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FA65B2"/>
    <w:multiLevelType w:val="multilevel"/>
    <w:tmpl w:val="1B26C5B4"/>
    <w:numStyleLink w:val="ExecutiveSummary"/>
  </w:abstractNum>
  <w:abstractNum w:abstractNumId="2">
    <w:nsid w:val="08B94F2D"/>
    <w:multiLevelType w:val="multilevel"/>
    <w:tmpl w:val="9CA62F06"/>
    <w:lvl w:ilvl="0">
      <w:start w:val="1"/>
      <w:numFmt w:val="decimal"/>
      <w:pStyle w:val="NumbParag"/>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0" w:hanging="360"/>
      </w:pPr>
      <w:rPr>
        <w:rFonts w:asciiTheme="majorHAnsi" w:hAnsiTheme="majorHAnsi" w:hint="default"/>
        <w:i w:val="0"/>
        <w:sz w:val="22"/>
        <w:szCs w:val="22"/>
      </w:rPr>
    </w:lvl>
    <w:lvl w:ilvl="2">
      <w:start w:val="1"/>
      <w:numFmt w:val="decimal"/>
      <w:lvlText w:val="%1.%2.%3"/>
      <w:lvlJc w:val="left"/>
      <w:pPr>
        <w:ind w:left="2480" w:hanging="360"/>
      </w:pPr>
      <w:rPr>
        <w:rFonts w:hint="default"/>
      </w:rPr>
    </w:lvl>
    <w:lvl w:ilvl="3">
      <w:start w:val="1"/>
      <w:numFmt w:val="decimal"/>
      <w:lvlText w:val="%4."/>
      <w:lvlJc w:val="left"/>
      <w:pPr>
        <w:ind w:left="3020" w:hanging="360"/>
      </w:pPr>
      <w:rPr>
        <w:rFonts w:hint="default"/>
      </w:rPr>
    </w:lvl>
    <w:lvl w:ilvl="4">
      <w:start w:val="1"/>
      <w:numFmt w:val="lowerLetter"/>
      <w:lvlText w:val="%5."/>
      <w:lvlJc w:val="left"/>
      <w:pPr>
        <w:ind w:left="3740" w:hanging="360"/>
      </w:pPr>
      <w:rPr>
        <w:rFonts w:hint="default"/>
      </w:rPr>
    </w:lvl>
    <w:lvl w:ilvl="5">
      <w:start w:val="1"/>
      <w:numFmt w:val="lowerRoman"/>
      <w:lvlText w:val="%6."/>
      <w:lvlJc w:val="right"/>
      <w:pPr>
        <w:ind w:left="4460" w:hanging="180"/>
      </w:pPr>
      <w:rPr>
        <w:rFonts w:hint="default"/>
      </w:rPr>
    </w:lvl>
    <w:lvl w:ilvl="6">
      <w:start w:val="1"/>
      <w:numFmt w:val="decimal"/>
      <w:lvlText w:val="%7."/>
      <w:lvlJc w:val="left"/>
      <w:pPr>
        <w:ind w:left="5180" w:hanging="360"/>
      </w:pPr>
      <w:rPr>
        <w:rFonts w:hint="default"/>
      </w:rPr>
    </w:lvl>
    <w:lvl w:ilvl="7">
      <w:start w:val="1"/>
      <w:numFmt w:val="lowerLetter"/>
      <w:lvlText w:val="%8."/>
      <w:lvlJc w:val="left"/>
      <w:pPr>
        <w:ind w:left="5900" w:hanging="360"/>
      </w:pPr>
      <w:rPr>
        <w:rFonts w:hint="default"/>
      </w:rPr>
    </w:lvl>
    <w:lvl w:ilvl="8">
      <w:start w:val="1"/>
      <w:numFmt w:val="lowerRoman"/>
      <w:lvlText w:val="%9."/>
      <w:lvlJc w:val="right"/>
      <w:pPr>
        <w:ind w:left="6620" w:hanging="180"/>
      </w:pPr>
      <w:rPr>
        <w:rFonts w:hint="default"/>
      </w:rPr>
    </w:lvl>
  </w:abstractNum>
  <w:abstractNum w:abstractNumId="3">
    <w:nsid w:val="0E3E1131"/>
    <w:multiLevelType w:val="hybridMultilevel"/>
    <w:tmpl w:val="4A201AF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nsid w:val="138F7A76"/>
    <w:multiLevelType w:val="multilevel"/>
    <w:tmpl w:val="7C6CCC80"/>
    <w:styleLink w:val="Annex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ascii="Times New Roman" w:hAnsi="Times New Roman" w:cs="Times New Roman"/>
        <w:b/>
        <w:bCs/>
        <w:i w:val="0"/>
        <w:iCs w:val="0"/>
        <w:caps w:val="0"/>
        <w:smallCaps w:val="0"/>
        <w:strike w:val="0"/>
        <w:dstrike w:val="0"/>
        <w:vanish w:val="0"/>
        <w:spacing w:val="0"/>
        <w:kern w:val="0"/>
        <w:position w:val="0"/>
        <w:u w:val="none"/>
        <w:vertAlign w:val="baseline"/>
      </w:rPr>
    </w:lvl>
    <w:lvl w:ilvl="3">
      <w:start w:val="1"/>
      <w:numFmt w:val="decimal"/>
      <w:lvlText w:val="%1.%2.%3.%4."/>
      <w:lvlJc w:val="left"/>
      <w:pPr>
        <w:ind w:left="1440" w:hanging="360"/>
      </w:pPr>
      <w:rPr>
        <w:rFonts w:ascii="Times New Roman" w:hAnsi="Times New Roman" w:cs="Times New Roman"/>
        <w:b w:val="0"/>
        <w:bCs w:val="0"/>
        <w:i/>
        <w:iCs w:val="0"/>
        <w:caps w:val="0"/>
        <w:smallCaps w:val="0"/>
        <w:strike w:val="0"/>
        <w:dstrike w:val="0"/>
        <w:vanish w:val="0"/>
        <w:spacing w:val="0"/>
        <w:kern w:val="0"/>
        <w:position w:val="0"/>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236D4F"/>
    <w:multiLevelType w:val="multilevel"/>
    <w:tmpl w:val="8FA2B37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845" w:hanging="576"/>
      </w:pPr>
      <w:rPr>
        <w:rFonts w:hint="default"/>
        <w:lang w:val="nl-NL"/>
      </w:rPr>
    </w:lvl>
    <w:lvl w:ilvl="2">
      <w:start w:val="1"/>
      <w:numFmt w:val="decimal"/>
      <w:pStyle w:val="berschrift3"/>
      <w:lvlText w:val="%1.%2.%3"/>
      <w:lvlJc w:val="left"/>
      <w:pPr>
        <w:ind w:left="639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1F6B04EE"/>
    <w:multiLevelType w:val="hybridMultilevel"/>
    <w:tmpl w:val="9744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F739B"/>
    <w:multiLevelType w:val="hybridMultilevel"/>
    <w:tmpl w:val="88F49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53807DE"/>
    <w:multiLevelType w:val="multilevel"/>
    <w:tmpl w:val="1B26C5B4"/>
    <w:styleLink w:val="ExecutiveSummary"/>
    <w:lvl w:ilvl="0">
      <w:start w:val="1"/>
      <w:numFmt w:val="none"/>
      <w:lvlText w:val="%1"/>
      <w:lvlJc w:val="left"/>
      <w:pPr>
        <w:ind w:left="432" w:hanging="432"/>
      </w:pPr>
      <w:rPr>
        <w:rFonts w:hint="default"/>
      </w:rPr>
    </w:lvl>
    <w:lvl w:ilvl="1">
      <w:start w:val="1"/>
      <w:numFmt w:val="decimal"/>
      <w:pStyle w:val="ExecutiveSummary11"/>
      <w:lvlText w:val="R%1.%2"/>
      <w:lvlJc w:val="left"/>
      <w:pPr>
        <w:ind w:left="576" w:hanging="576"/>
      </w:pPr>
      <w:rPr>
        <w:rFonts w:hint="default"/>
      </w:rPr>
    </w:lvl>
    <w:lvl w:ilvl="2">
      <w:start w:val="1"/>
      <w:numFmt w:val="decimal"/>
      <w:pStyle w:val="ExecutiveSummary111"/>
      <w:lvlText w:val="R%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5A57226"/>
    <w:multiLevelType w:val="hybridMultilevel"/>
    <w:tmpl w:val="C42083C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2FF61AD6"/>
    <w:multiLevelType w:val="multilevel"/>
    <w:tmpl w:val="8474E3B4"/>
    <w:lvl w:ilvl="0">
      <w:start w:val="1"/>
      <w:numFmt w:val="decimal"/>
      <w:lvlText w:val="%1."/>
      <w:lvlJc w:val="left"/>
      <w:pPr>
        <w:ind w:left="1080" w:hanging="360"/>
      </w:pPr>
      <w:rPr>
        <w:rFonts w:hint="default"/>
        <w:caps w:val="0"/>
        <w:strike w:val="0"/>
        <w:dstrike w:val="0"/>
        <w:vanish w:val="0"/>
        <w:color w:val="auto"/>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339E76A0"/>
    <w:multiLevelType w:val="hybridMultilevel"/>
    <w:tmpl w:val="644AE180"/>
    <w:lvl w:ilvl="0" w:tplc="65A6EE0E">
      <w:start w:val="1"/>
      <w:numFmt w:val="decimal"/>
      <w:lvlText w:val="§%1."/>
      <w:lvlJc w:val="left"/>
      <w:pPr>
        <w:ind w:left="360" w:hanging="360"/>
      </w:pPr>
      <w:rPr>
        <w:rFonts w:hint="default"/>
      </w:rPr>
    </w:lvl>
    <w:lvl w:ilvl="1" w:tplc="454287F8">
      <w:start w:val="1"/>
      <w:numFmt w:val="bullet"/>
      <w:pStyle w:val="BulletType1"/>
      <w:lvlText w:val=""/>
      <w:lvlJc w:val="left"/>
      <w:pPr>
        <w:ind w:left="1440" w:hanging="360"/>
      </w:pPr>
      <w:rPr>
        <w:rFonts w:ascii="Symbol" w:hAnsi="Symbol" w:cs="Symbol" w:hint="default"/>
      </w:rPr>
    </w:lvl>
    <w:lvl w:ilvl="2" w:tplc="7E585C92">
      <w:start w:val="1"/>
      <w:numFmt w:val="bullet"/>
      <w:pStyle w:val="BulleIndentType1"/>
      <w:lvlText w:val=""/>
      <w:lvlJc w:val="left"/>
      <w:pPr>
        <w:ind w:left="2160" w:hanging="180"/>
      </w:pPr>
      <w:rPr>
        <w:rFonts w:ascii="Wingdings" w:hAnsi="Wingdings" w:cs="Wingding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3EE6307B"/>
    <w:multiLevelType w:val="hybridMultilevel"/>
    <w:tmpl w:val="CF38199C"/>
    <w:lvl w:ilvl="0" w:tplc="CBD4245C">
      <w:start w:val="1"/>
      <w:numFmt w:val="lowerLetter"/>
      <w:pStyle w:val="BulletNum2"/>
      <w:lvlText w:val="%1."/>
      <w:lvlJc w:val="left"/>
      <w:pPr>
        <w:ind w:left="720" w:hanging="360"/>
      </w:pPr>
    </w:lvl>
    <w:lvl w:ilvl="1" w:tplc="32E83C46">
      <w:start w:val="1"/>
      <w:numFmt w:val="lowerLetter"/>
      <w:lvlText w:val="%2."/>
      <w:lvlJc w:val="left"/>
      <w:pPr>
        <w:ind w:left="1440" w:hanging="360"/>
      </w:pPr>
    </w:lvl>
    <w:lvl w:ilvl="2" w:tplc="AFA4CAE8">
      <w:start w:val="1"/>
      <w:numFmt w:val="lowerRoman"/>
      <w:lvlText w:val="%3."/>
      <w:lvlJc w:val="right"/>
      <w:pPr>
        <w:ind w:left="2160" w:hanging="180"/>
      </w:pPr>
      <w:rPr>
        <w:rFonts w:hint="default"/>
      </w:rPr>
    </w:lvl>
    <w:lvl w:ilvl="3" w:tplc="AF28358E" w:tentative="1">
      <w:start w:val="1"/>
      <w:numFmt w:val="decimal"/>
      <w:lvlText w:val="%4."/>
      <w:lvlJc w:val="left"/>
      <w:pPr>
        <w:ind w:left="2880" w:hanging="360"/>
      </w:pPr>
    </w:lvl>
    <w:lvl w:ilvl="4" w:tplc="EC4E08AA" w:tentative="1">
      <w:start w:val="1"/>
      <w:numFmt w:val="lowerLetter"/>
      <w:lvlText w:val="%5."/>
      <w:lvlJc w:val="left"/>
      <w:pPr>
        <w:ind w:left="3600" w:hanging="360"/>
      </w:pPr>
    </w:lvl>
    <w:lvl w:ilvl="5" w:tplc="B2D2D3BC" w:tentative="1">
      <w:start w:val="1"/>
      <w:numFmt w:val="lowerRoman"/>
      <w:lvlText w:val="%6."/>
      <w:lvlJc w:val="right"/>
      <w:pPr>
        <w:ind w:left="4320" w:hanging="180"/>
      </w:pPr>
    </w:lvl>
    <w:lvl w:ilvl="6" w:tplc="63CABA9E" w:tentative="1">
      <w:start w:val="1"/>
      <w:numFmt w:val="decimal"/>
      <w:lvlText w:val="%7."/>
      <w:lvlJc w:val="left"/>
      <w:pPr>
        <w:ind w:left="5040" w:hanging="360"/>
      </w:pPr>
    </w:lvl>
    <w:lvl w:ilvl="7" w:tplc="F9C6D56A" w:tentative="1">
      <w:start w:val="1"/>
      <w:numFmt w:val="lowerLetter"/>
      <w:lvlText w:val="%8."/>
      <w:lvlJc w:val="left"/>
      <w:pPr>
        <w:ind w:left="5760" w:hanging="360"/>
      </w:pPr>
    </w:lvl>
    <w:lvl w:ilvl="8" w:tplc="D522FC5E" w:tentative="1">
      <w:start w:val="1"/>
      <w:numFmt w:val="lowerRoman"/>
      <w:lvlText w:val="%9."/>
      <w:lvlJc w:val="right"/>
      <w:pPr>
        <w:ind w:left="6480" w:hanging="180"/>
      </w:pPr>
    </w:lvl>
  </w:abstractNum>
  <w:abstractNum w:abstractNumId="13">
    <w:nsid w:val="41366B9A"/>
    <w:multiLevelType w:val="hybridMultilevel"/>
    <w:tmpl w:val="6E54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75EAE"/>
    <w:multiLevelType w:val="multilevel"/>
    <w:tmpl w:val="1DCC8EA6"/>
    <w:lvl w:ilvl="0">
      <w:start w:val="1"/>
      <w:numFmt w:val="decimal"/>
      <w:pStyle w:val="Opmaakprofiel1"/>
      <w:lvlText w:val="%1."/>
      <w:lvlJc w:val="left"/>
      <w:pPr>
        <w:ind w:left="1080" w:hanging="360"/>
      </w:pPr>
      <w:rPr>
        <w:rFonts w:hint="default"/>
        <w:caps w:val="0"/>
        <w:strike w:val="0"/>
        <w:dstrike w:val="0"/>
        <w:vanish w:val="0"/>
        <w:color w:val="auto"/>
        <w:vertAlign w:val="baseline"/>
      </w:rPr>
    </w:lvl>
    <w:lvl w:ilvl="1">
      <w:start w:val="1"/>
      <w:numFmt w:val="decimal"/>
      <w:pStyle w:val="Opmaakprofiel2"/>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nsid w:val="47210640"/>
    <w:multiLevelType w:val="multilevel"/>
    <w:tmpl w:val="1D6864A8"/>
    <w:lvl w:ilvl="0">
      <w:start w:val="1"/>
      <w:numFmt w:val="decimal"/>
      <w:lvlText w:val="%1."/>
      <w:lvlJc w:val="left"/>
      <w:pPr>
        <w:ind w:left="1080" w:hanging="360"/>
      </w:pPr>
      <w:rPr>
        <w:rFonts w:hint="default"/>
        <w:caps w:val="0"/>
        <w:strike w:val="0"/>
        <w:dstrike w:val="0"/>
        <w:vanish w:val="0"/>
        <w:color w:val="auto"/>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A4D23CE"/>
    <w:multiLevelType w:val="hybridMultilevel"/>
    <w:tmpl w:val="A800A3D6"/>
    <w:lvl w:ilvl="0" w:tplc="FFFFFFFF">
      <w:numFmt w:val="bullet"/>
      <w:pStyle w:val="BulletType2"/>
      <w:lvlText w:val="-"/>
      <w:lvlJc w:val="left"/>
      <w:pPr>
        <w:ind w:left="1437" w:hanging="360"/>
      </w:pPr>
      <w:rPr>
        <w:rFonts w:ascii="Times New Roman" w:hAnsi="Times New Roman" w:cs="Times New Roman" w:hint="default"/>
      </w:rPr>
    </w:lvl>
    <w:lvl w:ilvl="1" w:tplc="FFFFFFFF">
      <w:start w:val="1"/>
      <w:numFmt w:val="bullet"/>
      <w:lvlText w:val="o"/>
      <w:lvlJc w:val="left"/>
      <w:pPr>
        <w:ind w:left="2157" w:hanging="360"/>
      </w:pPr>
      <w:rPr>
        <w:rFonts w:ascii="Courier New" w:hAnsi="Courier New" w:cs="Courier New" w:hint="default"/>
      </w:rPr>
    </w:lvl>
    <w:lvl w:ilvl="2" w:tplc="FFFFFFFF" w:tentative="1">
      <w:start w:val="1"/>
      <w:numFmt w:val="bullet"/>
      <w:lvlText w:val=""/>
      <w:lvlJc w:val="left"/>
      <w:pPr>
        <w:ind w:left="2877" w:hanging="360"/>
      </w:pPr>
      <w:rPr>
        <w:rFonts w:ascii="Wingdings" w:hAnsi="Wingdings" w:cs="Wingdings" w:hint="default"/>
      </w:rPr>
    </w:lvl>
    <w:lvl w:ilvl="3" w:tplc="FFFFFFFF" w:tentative="1">
      <w:start w:val="1"/>
      <w:numFmt w:val="bullet"/>
      <w:lvlText w:val=""/>
      <w:lvlJc w:val="left"/>
      <w:pPr>
        <w:ind w:left="3597" w:hanging="360"/>
      </w:pPr>
      <w:rPr>
        <w:rFonts w:ascii="Symbol" w:hAnsi="Symbol" w:cs="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cs="Wingdings" w:hint="default"/>
      </w:rPr>
    </w:lvl>
    <w:lvl w:ilvl="6" w:tplc="FFFFFFFF" w:tentative="1">
      <w:start w:val="1"/>
      <w:numFmt w:val="bullet"/>
      <w:lvlText w:val=""/>
      <w:lvlJc w:val="left"/>
      <w:pPr>
        <w:ind w:left="5757" w:hanging="360"/>
      </w:pPr>
      <w:rPr>
        <w:rFonts w:ascii="Symbol" w:hAnsi="Symbol" w:cs="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cs="Wingdings" w:hint="default"/>
      </w:rPr>
    </w:lvl>
  </w:abstractNum>
  <w:abstractNum w:abstractNumId="17">
    <w:nsid w:val="50AC0C35"/>
    <w:multiLevelType w:val="hybridMultilevel"/>
    <w:tmpl w:val="0866980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51D941C3"/>
    <w:multiLevelType w:val="multilevel"/>
    <w:tmpl w:val="F6EC6DAA"/>
    <w:lvl w:ilvl="0">
      <w:start w:val="1"/>
      <w:numFmt w:val="upperLetter"/>
      <w:pStyle w:val="Annexe1"/>
      <w:lvlText w:val="Annexe %1."/>
      <w:lvlJc w:val="left"/>
      <w:pPr>
        <w:ind w:left="360" w:hanging="360"/>
      </w:pPr>
      <w:rPr>
        <w:rFonts w:cs="Times New Roman" w:hint="default"/>
        <w:i w:val="0"/>
        <w:iCs w:val="0"/>
        <w:caps w:val="0"/>
        <w:smallCaps w:val="0"/>
        <w:strike w:val="0"/>
        <w:dstrike w:val="0"/>
        <w:noProof w:val="0"/>
        <w:vanish w:val="0"/>
        <w:spacing w:val="0"/>
        <w:kern w:val="0"/>
        <w:position w:val="0"/>
        <w:u w:val="none"/>
        <w:vertAlign w:val="baseline"/>
        <w:em w:val="none"/>
      </w:rPr>
    </w:lvl>
    <w:lvl w:ilvl="1">
      <w:start w:val="1"/>
      <w:numFmt w:val="decimal"/>
      <w:pStyle w:val="Annexe11"/>
      <w:lvlText w:val="%1.%2."/>
      <w:lvlJc w:val="left"/>
      <w:pPr>
        <w:ind w:left="720" w:hanging="360"/>
      </w:pPr>
      <w:rPr>
        <w:rFonts w:cs="Times New Roman" w:hint="default"/>
        <w:i w:val="0"/>
        <w:iCs w:val="0"/>
        <w:caps w:val="0"/>
        <w:smallCaps w:val="0"/>
        <w:strike w:val="0"/>
        <w:dstrike w:val="0"/>
        <w:noProof w:val="0"/>
        <w:vanish w:val="0"/>
        <w:spacing w:val="0"/>
        <w:kern w:val="0"/>
        <w:position w:val="0"/>
        <w:u w:val="none"/>
        <w:vertAlign w:val="baseline"/>
        <w:em w:val="none"/>
      </w:rPr>
    </w:lvl>
    <w:lvl w:ilvl="2">
      <w:start w:val="1"/>
      <w:numFmt w:val="decimal"/>
      <w:pStyle w:val="Annexe111"/>
      <w:lvlText w:val="%1.%2.%3."/>
      <w:lvlJc w:val="left"/>
      <w:pPr>
        <w:ind w:left="1080" w:hanging="360"/>
      </w:pPr>
      <w:rPr>
        <w:rFonts w:cs="Times New Roman" w:hint="default"/>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440" w:hanging="360"/>
      </w:pPr>
      <w:rPr>
        <w:rFonts w:ascii="Times New Roman" w:hAnsi="Times New Roman" w:cs="Times New Roman" w:hint="default"/>
        <w:b w:val="0"/>
        <w:bCs w:val="0"/>
        <w:i/>
        <w:iCs w:val="0"/>
        <w:caps w:val="0"/>
        <w:smallCaps w:val="0"/>
        <w:strike w:val="0"/>
        <w:dstrike w:val="0"/>
        <w:vanish w:val="0"/>
        <w:spacing w:val="0"/>
        <w:kern w:val="0"/>
        <w:position w:val="0"/>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4074AC"/>
    <w:multiLevelType w:val="hybridMultilevel"/>
    <w:tmpl w:val="8E42DBC2"/>
    <w:lvl w:ilvl="0" w:tplc="08130001">
      <w:start w:val="1"/>
      <w:numFmt w:val="bullet"/>
      <w:lvlText w:val=""/>
      <w:lvlJc w:val="left"/>
      <w:pPr>
        <w:ind w:left="1473" w:hanging="360"/>
      </w:pPr>
      <w:rPr>
        <w:rFonts w:ascii="Symbol" w:hAnsi="Symbol" w:hint="default"/>
      </w:rPr>
    </w:lvl>
    <w:lvl w:ilvl="1" w:tplc="08130003" w:tentative="1">
      <w:start w:val="1"/>
      <w:numFmt w:val="bullet"/>
      <w:lvlText w:val="o"/>
      <w:lvlJc w:val="left"/>
      <w:pPr>
        <w:ind w:left="2193" w:hanging="360"/>
      </w:pPr>
      <w:rPr>
        <w:rFonts w:ascii="Courier New" w:hAnsi="Courier New" w:cs="Courier New" w:hint="default"/>
      </w:rPr>
    </w:lvl>
    <w:lvl w:ilvl="2" w:tplc="08130005" w:tentative="1">
      <w:start w:val="1"/>
      <w:numFmt w:val="bullet"/>
      <w:lvlText w:val=""/>
      <w:lvlJc w:val="left"/>
      <w:pPr>
        <w:ind w:left="2913" w:hanging="360"/>
      </w:pPr>
      <w:rPr>
        <w:rFonts w:ascii="Wingdings" w:hAnsi="Wingdings" w:hint="default"/>
      </w:rPr>
    </w:lvl>
    <w:lvl w:ilvl="3" w:tplc="08130001" w:tentative="1">
      <w:start w:val="1"/>
      <w:numFmt w:val="bullet"/>
      <w:lvlText w:val=""/>
      <w:lvlJc w:val="left"/>
      <w:pPr>
        <w:ind w:left="3633" w:hanging="360"/>
      </w:pPr>
      <w:rPr>
        <w:rFonts w:ascii="Symbol" w:hAnsi="Symbol" w:hint="default"/>
      </w:rPr>
    </w:lvl>
    <w:lvl w:ilvl="4" w:tplc="08130003" w:tentative="1">
      <w:start w:val="1"/>
      <w:numFmt w:val="bullet"/>
      <w:lvlText w:val="o"/>
      <w:lvlJc w:val="left"/>
      <w:pPr>
        <w:ind w:left="4353" w:hanging="360"/>
      </w:pPr>
      <w:rPr>
        <w:rFonts w:ascii="Courier New" w:hAnsi="Courier New" w:cs="Courier New" w:hint="default"/>
      </w:rPr>
    </w:lvl>
    <w:lvl w:ilvl="5" w:tplc="08130005" w:tentative="1">
      <w:start w:val="1"/>
      <w:numFmt w:val="bullet"/>
      <w:lvlText w:val=""/>
      <w:lvlJc w:val="left"/>
      <w:pPr>
        <w:ind w:left="5073" w:hanging="360"/>
      </w:pPr>
      <w:rPr>
        <w:rFonts w:ascii="Wingdings" w:hAnsi="Wingdings" w:hint="default"/>
      </w:rPr>
    </w:lvl>
    <w:lvl w:ilvl="6" w:tplc="08130001" w:tentative="1">
      <w:start w:val="1"/>
      <w:numFmt w:val="bullet"/>
      <w:lvlText w:val=""/>
      <w:lvlJc w:val="left"/>
      <w:pPr>
        <w:ind w:left="5793" w:hanging="360"/>
      </w:pPr>
      <w:rPr>
        <w:rFonts w:ascii="Symbol" w:hAnsi="Symbol" w:hint="default"/>
      </w:rPr>
    </w:lvl>
    <w:lvl w:ilvl="7" w:tplc="08130003" w:tentative="1">
      <w:start w:val="1"/>
      <w:numFmt w:val="bullet"/>
      <w:lvlText w:val="o"/>
      <w:lvlJc w:val="left"/>
      <w:pPr>
        <w:ind w:left="6513" w:hanging="360"/>
      </w:pPr>
      <w:rPr>
        <w:rFonts w:ascii="Courier New" w:hAnsi="Courier New" w:cs="Courier New" w:hint="default"/>
      </w:rPr>
    </w:lvl>
    <w:lvl w:ilvl="8" w:tplc="08130005" w:tentative="1">
      <w:start w:val="1"/>
      <w:numFmt w:val="bullet"/>
      <w:lvlText w:val=""/>
      <w:lvlJc w:val="left"/>
      <w:pPr>
        <w:ind w:left="7233" w:hanging="360"/>
      </w:pPr>
      <w:rPr>
        <w:rFonts w:ascii="Wingdings" w:hAnsi="Wingdings" w:hint="default"/>
      </w:rPr>
    </w:lvl>
  </w:abstractNum>
  <w:abstractNum w:abstractNumId="20">
    <w:nsid w:val="54C42566"/>
    <w:multiLevelType w:val="hybridMultilevel"/>
    <w:tmpl w:val="C41CE59E"/>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nsid w:val="5B8B29C1"/>
    <w:multiLevelType w:val="multilevel"/>
    <w:tmpl w:val="D16A5D90"/>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83705"/>
    <w:multiLevelType w:val="hybridMultilevel"/>
    <w:tmpl w:val="2368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EC296D"/>
    <w:multiLevelType w:val="hybridMultilevel"/>
    <w:tmpl w:val="00B8E7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40A2A65"/>
    <w:multiLevelType w:val="multilevel"/>
    <w:tmpl w:val="2DBCF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5357C1E"/>
    <w:multiLevelType w:val="multilevel"/>
    <w:tmpl w:val="B582BD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8EB57A5"/>
    <w:multiLevelType w:val="hybridMultilevel"/>
    <w:tmpl w:val="BE00ADCA"/>
    <w:lvl w:ilvl="0" w:tplc="B372C8FA">
      <w:start w:val="4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03C04FE"/>
    <w:multiLevelType w:val="multilevel"/>
    <w:tmpl w:val="0FF8E7DE"/>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nsid w:val="72A86FB9"/>
    <w:multiLevelType w:val="multilevel"/>
    <w:tmpl w:val="F8326060"/>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9475CBB"/>
    <w:multiLevelType w:val="hybridMultilevel"/>
    <w:tmpl w:val="6CFC631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0">
    <w:nsid w:val="79994125"/>
    <w:multiLevelType w:val="hybridMultilevel"/>
    <w:tmpl w:val="64F0EA1C"/>
    <w:lvl w:ilvl="0" w:tplc="74905698">
      <w:start w:val="1"/>
      <w:numFmt w:val="decimal"/>
      <w:pStyle w:val="BulletNum1"/>
      <w:lvlText w:val="%1."/>
      <w:lvlJc w:val="left"/>
      <w:pPr>
        <w:ind w:left="720" w:hanging="360"/>
      </w:p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num w:numId="1">
    <w:abstractNumId w:val="4"/>
  </w:num>
  <w:num w:numId="2">
    <w:abstractNumId w:val="5"/>
  </w:num>
  <w:num w:numId="3">
    <w:abstractNumId w:val="18"/>
  </w:num>
  <w:num w:numId="4">
    <w:abstractNumId w:val="11"/>
  </w:num>
  <w:num w:numId="5">
    <w:abstractNumId w:val="30"/>
  </w:num>
  <w:num w:numId="6">
    <w:abstractNumId w:val="12"/>
  </w:num>
  <w:num w:numId="7">
    <w:abstractNumId w:val="16"/>
  </w:num>
  <w:num w:numId="8">
    <w:abstractNumId w:val="8"/>
  </w:num>
  <w:num w:numId="9">
    <w:abstractNumId w:val="1"/>
  </w:num>
  <w:num w:numId="10">
    <w:abstractNumId w:val="5"/>
  </w:num>
  <w:num w:numId="11">
    <w:abstractNumId w:val="0"/>
  </w:num>
  <w:num w:numId="12">
    <w:abstractNumId w:val="2"/>
  </w:num>
  <w:num w:numId="13">
    <w:abstractNumId w:val="25"/>
  </w:num>
  <w:num w:numId="14">
    <w:abstractNumId w:val="28"/>
  </w:num>
  <w:num w:numId="15">
    <w:abstractNumId w:val="23"/>
  </w:num>
  <w:num w:numId="16">
    <w:abstractNumId w:val="7"/>
  </w:num>
  <w:num w:numId="17">
    <w:abstractNumId w:val="28"/>
  </w:num>
  <w:num w:numId="18">
    <w:abstractNumId w:val="28"/>
  </w:num>
  <w:num w:numId="19">
    <w:abstractNumId w:val="28"/>
  </w:num>
  <w:num w:numId="20">
    <w:abstractNumId w:val="28"/>
  </w:num>
  <w:num w:numId="21">
    <w:abstractNumId w:val="28"/>
  </w:num>
  <w:num w:numId="22">
    <w:abstractNumId w:val="28"/>
  </w:num>
  <w:num w:numId="23">
    <w:abstractNumId w:val="28"/>
  </w:num>
  <w:num w:numId="24">
    <w:abstractNumId w:val="28"/>
  </w:num>
  <w:num w:numId="25">
    <w:abstractNumId w:val="28"/>
  </w:num>
  <w:num w:numId="26">
    <w:abstractNumId w:val="26"/>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num>
  <w:num w:numId="32">
    <w:abstractNumId w:val="9"/>
  </w:num>
  <w:num w:numId="33">
    <w:abstractNumId w:val="17"/>
  </w:num>
  <w:num w:numId="34">
    <w:abstractNumId w:val="28"/>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4"/>
  </w:num>
  <w:num w:numId="37">
    <w:abstractNumId w:val="15"/>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2"/>
  </w:num>
  <w:num w:numId="41">
    <w:abstractNumId w:val="13"/>
  </w:num>
  <w:num w:numId="42">
    <w:abstractNumId w:val="19"/>
  </w:num>
  <w:num w:numId="43">
    <w:abstractNumId w:val="29"/>
  </w:num>
  <w:num w:numId="44">
    <w:abstractNumId w:val="10"/>
  </w:num>
  <w:num w:numId="4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7"/>
    <w:rsid w:val="0000085C"/>
    <w:rsid w:val="00001DDB"/>
    <w:rsid w:val="000022FB"/>
    <w:rsid w:val="00002431"/>
    <w:rsid w:val="00004002"/>
    <w:rsid w:val="0000570E"/>
    <w:rsid w:val="00007890"/>
    <w:rsid w:val="00007C75"/>
    <w:rsid w:val="000116F3"/>
    <w:rsid w:val="00013E4C"/>
    <w:rsid w:val="00014864"/>
    <w:rsid w:val="00015040"/>
    <w:rsid w:val="00015AFD"/>
    <w:rsid w:val="00020541"/>
    <w:rsid w:val="00021228"/>
    <w:rsid w:val="0002401F"/>
    <w:rsid w:val="0002438D"/>
    <w:rsid w:val="00025F5D"/>
    <w:rsid w:val="00027982"/>
    <w:rsid w:val="000302FF"/>
    <w:rsid w:val="0003210F"/>
    <w:rsid w:val="00033779"/>
    <w:rsid w:val="0003492A"/>
    <w:rsid w:val="00037AC2"/>
    <w:rsid w:val="0004280E"/>
    <w:rsid w:val="0004378E"/>
    <w:rsid w:val="00046753"/>
    <w:rsid w:val="00046FE7"/>
    <w:rsid w:val="00050F43"/>
    <w:rsid w:val="00052457"/>
    <w:rsid w:val="00052E9C"/>
    <w:rsid w:val="00053B01"/>
    <w:rsid w:val="00053F23"/>
    <w:rsid w:val="00053F79"/>
    <w:rsid w:val="00057B5D"/>
    <w:rsid w:val="00060582"/>
    <w:rsid w:val="000613A9"/>
    <w:rsid w:val="000619A8"/>
    <w:rsid w:val="0006284C"/>
    <w:rsid w:val="0006320E"/>
    <w:rsid w:val="00064210"/>
    <w:rsid w:val="00065757"/>
    <w:rsid w:val="00065B2C"/>
    <w:rsid w:val="00066275"/>
    <w:rsid w:val="0006642B"/>
    <w:rsid w:val="00066B22"/>
    <w:rsid w:val="00071353"/>
    <w:rsid w:val="000714D8"/>
    <w:rsid w:val="00072AA8"/>
    <w:rsid w:val="00072F20"/>
    <w:rsid w:val="000748AC"/>
    <w:rsid w:val="000756DF"/>
    <w:rsid w:val="000776CE"/>
    <w:rsid w:val="000777A1"/>
    <w:rsid w:val="00077AC9"/>
    <w:rsid w:val="00080F69"/>
    <w:rsid w:val="0008112B"/>
    <w:rsid w:val="00082463"/>
    <w:rsid w:val="00082B43"/>
    <w:rsid w:val="0008374B"/>
    <w:rsid w:val="00084C8C"/>
    <w:rsid w:val="000866DC"/>
    <w:rsid w:val="00087191"/>
    <w:rsid w:val="00090256"/>
    <w:rsid w:val="00090503"/>
    <w:rsid w:val="00090A36"/>
    <w:rsid w:val="00092286"/>
    <w:rsid w:val="00093514"/>
    <w:rsid w:val="00093F7F"/>
    <w:rsid w:val="0009414A"/>
    <w:rsid w:val="00095418"/>
    <w:rsid w:val="0009580B"/>
    <w:rsid w:val="000A481A"/>
    <w:rsid w:val="000A4F67"/>
    <w:rsid w:val="000A5012"/>
    <w:rsid w:val="000A611F"/>
    <w:rsid w:val="000A761D"/>
    <w:rsid w:val="000A79DC"/>
    <w:rsid w:val="000B083D"/>
    <w:rsid w:val="000B24C5"/>
    <w:rsid w:val="000B2C5C"/>
    <w:rsid w:val="000B33F7"/>
    <w:rsid w:val="000B4C8E"/>
    <w:rsid w:val="000B4FC8"/>
    <w:rsid w:val="000B58F8"/>
    <w:rsid w:val="000B5F91"/>
    <w:rsid w:val="000B64CB"/>
    <w:rsid w:val="000B6D7C"/>
    <w:rsid w:val="000B72A2"/>
    <w:rsid w:val="000B761C"/>
    <w:rsid w:val="000B7EDE"/>
    <w:rsid w:val="000C002B"/>
    <w:rsid w:val="000C0326"/>
    <w:rsid w:val="000C10F1"/>
    <w:rsid w:val="000C22F9"/>
    <w:rsid w:val="000C2DF4"/>
    <w:rsid w:val="000C2F92"/>
    <w:rsid w:val="000C30E9"/>
    <w:rsid w:val="000C35AC"/>
    <w:rsid w:val="000C46EC"/>
    <w:rsid w:val="000C50DE"/>
    <w:rsid w:val="000C5BEF"/>
    <w:rsid w:val="000C5F06"/>
    <w:rsid w:val="000C5F0E"/>
    <w:rsid w:val="000C6428"/>
    <w:rsid w:val="000D166B"/>
    <w:rsid w:val="000D3378"/>
    <w:rsid w:val="000D3C20"/>
    <w:rsid w:val="000D3C7C"/>
    <w:rsid w:val="000D46B3"/>
    <w:rsid w:val="000D63C9"/>
    <w:rsid w:val="000D67E4"/>
    <w:rsid w:val="000D7114"/>
    <w:rsid w:val="000D77CF"/>
    <w:rsid w:val="000E00BA"/>
    <w:rsid w:val="000E02D4"/>
    <w:rsid w:val="000E15B8"/>
    <w:rsid w:val="000E1788"/>
    <w:rsid w:val="000E1E4A"/>
    <w:rsid w:val="000E20C9"/>
    <w:rsid w:val="000E3DEC"/>
    <w:rsid w:val="000E6367"/>
    <w:rsid w:val="000E6BC2"/>
    <w:rsid w:val="000F2731"/>
    <w:rsid w:val="000F285B"/>
    <w:rsid w:val="000F2946"/>
    <w:rsid w:val="000F2EE3"/>
    <w:rsid w:val="000F34F9"/>
    <w:rsid w:val="000F4281"/>
    <w:rsid w:val="000F63FC"/>
    <w:rsid w:val="000F7C5C"/>
    <w:rsid w:val="00100B6E"/>
    <w:rsid w:val="0010238F"/>
    <w:rsid w:val="001053E9"/>
    <w:rsid w:val="0010573F"/>
    <w:rsid w:val="001060FC"/>
    <w:rsid w:val="00106DF4"/>
    <w:rsid w:val="0010717B"/>
    <w:rsid w:val="00111EF9"/>
    <w:rsid w:val="00112502"/>
    <w:rsid w:val="00112B90"/>
    <w:rsid w:val="00113E36"/>
    <w:rsid w:val="0011737B"/>
    <w:rsid w:val="00117E2C"/>
    <w:rsid w:val="001202FE"/>
    <w:rsid w:val="001206D0"/>
    <w:rsid w:val="001209A8"/>
    <w:rsid w:val="00121464"/>
    <w:rsid w:val="00121FA3"/>
    <w:rsid w:val="0012205B"/>
    <w:rsid w:val="001229A5"/>
    <w:rsid w:val="001234F4"/>
    <w:rsid w:val="00124E11"/>
    <w:rsid w:val="00125E2D"/>
    <w:rsid w:val="001267B8"/>
    <w:rsid w:val="00126D15"/>
    <w:rsid w:val="00127B15"/>
    <w:rsid w:val="00130DAF"/>
    <w:rsid w:val="00132BFC"/>
    <w:rsid w:val="0013369D"/>
    <w:rsid w:val="00133EC6"/>
    <w:rsid w:val="00133FBA"/>
    <w:rsid w:val="001348BF"/>
    <w:rsid w:val="00134A63"/>
    <w:rsid w:val="001356A4"/>
    <w:rsid w:val="00136548"/>
    <w:rsid w:val="00136F12"/>
    <w:rsid w:val="00141AAA"/>
    <w:rsid w:val="001422E8"/>
    <w:rsid w:val="00142BEA"/>
    <w:rsid w:val="00145BE1"/>
    <w:rsid w:val="00146EA9"/>
    <w:rsid w:val="00147F21"/>
    <w:rsid w:val="00150038"/>
    <w:rsid w:val="00150728"/>
    <w:rsid w:val="00153D36"/>
    <w:rsid w:val="0015430C"/>
    <w:rsid w:val="00154B9A"/>
    <w:rsid w:val="001558FB"/>
    <w:rsid w:val="001560A0"/>
    <w:rsid w:val="00157437"/>
    <w:rsid w:val="00157507"/>
    <w:rsid w:val="00160B3D"/>
    <w:rsid w:val="0016144C"/>
    <w:rsid w:val="001622E1"/>
    <w:rsid w:val="00162417"/>
    <w:rsid w:val="00162814"/>
    <w:rsid w:val="001647EC"/>
    <w:rsid w:val="00164972"/>
    <w:rsid w:val="00166D00"/>
    <w:rsid w:val="001675F3"/>
    <w:rsid w:val="00170ABE"/>
    <w:rsid w:val="00170C95"/>
    <w:rsid w:val="00171056"/>
    <w:rsid w:val="00171DEF"/>
    <w:rsid w:val="00171EC5"/>
    <w:rsid w:val="0017460D"/>
    <w:rsid w:val="001760D1"/>
    <w:rsid w:val="00176436"/>
    <w:rsid w:val="00176AAD"/>
    <w:rsid w:val="00176CB0"/>
    <w:rsid w:val="00177417"/>
    <w:rsid w:val="00180FA7"/>
    <w:rsid w:val="00181B55"/>
    <w:rsid w:val="00182381"/>
    <w:rsid w:val="00183062"/>
    <w:rsid w:val="0018413F"/>
    <w:rsid w:val="00184406"/>
    <w:rsid w:val="0018491A"/>
    <w:rsid w:val="00184C5D"/>
    <w:rsid w:val="0018593F"/>
    <w:rsid w:val="001866D0"/>
    <w:rsid w:val="001870AE"/>
    <w:rsid w:val="0018736B"/>
    <w:rsid w:val="001908A3"/>
    <w:rsid w:val="00191526"/>
    <w:rsid w:val="00191E98"/>
    <w:rsid w:val="001922A3"/>
    <w:rsid w:val="00192BA4"/>
    <w:rsid w:val="00194369"/>
    <w:rsid w:val="0019444E"/>
    <w:rsid w:val="001946AE"/>
    <w:rsid w:val="001951D8"/>
    <w:rsid w:val="00195F5B"/>
    <w:rsid w:val="0019666B"/>
    <w:rsid w:val="001968E4"/>
    <w:rsid w:val="001973E4"/>
    <w:rsid w:val="001A112E"/>
    <w:rsid w:val="001A2A46"/>
    <w:rsid w:val="001A305B"/>
    <w:rsid w:val="001A33B6"/>
    <w:rsid w:val="001A4412"/>
    <w:rsid w:val="001A4D65"/>
    <w:rsid w:val="001A4DFD"/>
    <w:rsid w:val="001A504B"/>
    <w:rsid w:val="001A58C5"/>
    <w:rsid w:val="001A6583"/>
    <w:rsid w:val="001A68EC"/>
    <w:rsid w:val="001A7D7B"/>
    <w:rsid w:val="001A7E92"/>
    <w:rsid w:val="001B21D2"/>
    <w:rsid w:val="001B2F18"/>
    <w:rsid w:val="001C027F"/>
    <w:rsid w:val="001C3BF6"/>
    <w:rsid w:val="001C58B3"/>
    <w:rsid w:val="001C5FC0"/>
    <w:rsid w:val="001C66E9"/>
    <w:rsid w:val="001D11A8"/>
    <w:rsid w:val="001D12D0"/>
    <w:rsid w:val="001D1C8D"/>
    <w:rsid w:val="001D46A0"/>
    <w:rsid w:val="001D4BBA"/>
    <w:rsid w:val="001D5761"/>
    <w:rsid w:val="001D5FF1"/>
    <w:rsid w:val="001D7D44"/>
    <w:rsid w:val="001E29D2"/>
    <w:rsid w:val="001E2D4F"/>
    <w:rsid w:val="001E3181"/>
    <w:rsid w:val="001E342D"/>
    <w:rsid w:val="001E34E1"/>
    <w:rsid w:val="001E3A59"/>
    <w:rsid w:val="001E41AC"/>
    <w:rsid w:val="001E424B"/>
    <w:rsid w:val="001E48AC"/>
    <w:rsid w:val="001E4B9A"/>
    <w:rsid w:val="001E4F82"/>
    <w:rsid w:val="001E50B2"/>
    <w:rsid w:val="001E70A0"/>
    <w:rsid w:val="001E7363"/>
    <w:rsid w:val="001F0762"/>
    <w:rsid w:val="001F0DB4"/>
    <w:rsid w:val="001F1C38"/>
    <w:rsid w:val="00201C1C"/>
    <w:rsid w:val="00201CA3"/>
    <w:rsid w:val="002023BD"/>
    <w:rsid w:val="002024BA"/>
    <w:rsid w:val="00203837"/>
    <w:rsid w:val="002047C7"/>
    <w:rsid w:val="002047CC"/>
    <w:rsid w:val="0020527D"/>
    <w:rsid w:val="00205DD6"/>
    <w:rsid w:val="0021080F"/>
    <w:rsid w:val="00210B2C"/>
    <w:rsid w:val="00212538"/>
    <w:rsid w:val="00212B65"/>
    <w:rsid w:val="00212F29"/>
    <w:rsid w:val="00213F2D"/>
    <w:rsid w:val="002146D3"/>
    <w:rsid w:val="00215D18"/>
    <w:rsid w:val="002160D0"/>
    <w:rsid w:val="002162DF"/>
    <w:rsid w:val="002206B7"/>
    <w:rsid w:val="002208B1"/>
    <w:rsid w:val="00220E66"/>
    <w:rsid w:val="00221A43"/>
    <w:rsid w:val="00221C25"/>
    <w:rsid w:val="0022227A"/>
    <w:rsid w:val="0022272D"/>
    <w:rsid w:val="00222F4D"/>
    <w:rsid w:val="00223442"/>
    <w:rsid w:val="00223598"/>
    <w:rsid w:val="002246D1"/>
    <w:rsid w:val="00224C72"/>
    <w:rsid w:val="0022533D"/>
    <w:rsid w:val="0022708C"/>
    <w:rsid w:val="0023214F"/>
    <w:rsid w:val="00233B63"/>
    <w:rsid w:val="00233D4D"/>
    <w:rsid w:val="002352A0"/>
    <w:rsid w:val="0023596F"/>
    <w:rsid w:val="00235B81"/>
    <w:rsid w:val="00236648"/>
    <w:rsid w:val="00237D3F"/>
    <w:rsid w:val="0024024D"/>
    <w:rsid w:val="00242FEA"/>
    <w:rsid w:val="00243300"/>
    <w:rsid w:val="002449A7"/>
    <w:rsid w:val="002449C8"/>
    <w:rsid w:val="00245648"/>
    <w:rsid w:val="00245F71"/>
    <w:rsid w:val="00246D4D"/>
    <w:rsid w:val="0024779A"/>
    <w:rsid w:val="00247E1A"/>
    <w:rsid w:val="002502B5"/>
    <w:rsid w:val="002510B8"/>
    <w:rsid w:val="002517B7"/>
    <w:rsid w:val="00251AC8"/>
    <w:rsid w:val="00252535"/>
    <w:rsid w:val="00254966"/>
    <w:rsid w:val="00254EBE"/>
    <w:rsid w:val="00255745"/>
    <w:rsid w:val="0025708D"/>
    <w:rsid w:val="00257526"/>
    <w:rsid w:val="00261D3A"/>
    <w:rsid w:val="00262918"/>
    <w:rsid w:val="00262FC3"/>
    <w:rsid w:val="00263A58"/>
    <w:rsid w:val="00265CB1"/>
    <w:rsid w:val="00267B5B"/>
    <w:rsid w:val="00270BA4"/>
    <w:rsid w:val="00270F64"/>
    <w:rsid w:val="00271740"/>
    <w:rsid w:val="00271847"/>
    <w:rsid w:val="002721D8"/>
    <w:rsid w:val="00272563"/>
    <w:rsid w:val="00272ED2"/>
    <w:rsid w:val="00273FB2"/>
    <w:rsid w:val="00277AA9"/>
    <w:rsid w:val="00281EA3"/>
    <w:rsid w:val="002822A1"/>
    <w:rsid w:val="00282A05"/>
    <w:rsid w:val="00283E31"/>
    <w:rsid w:val="00284E92"/>
    <w:rsid w:val="00284FA9"/>
    <w:rsid w:val="00285B03"/>
    <w:rsid w:val="00285F47"/>
    <w:rsid w:val="00286254"/>
    <w:rsid w:val="00286E7F"/>
    <w:rsid w:val="00287337"/>
    <w:rsid w:val="00291CE2"/>
    <w:rsid w:val="002924AF"/>
    <w:rsid w:val="0029272C"/>
    <w:rsid w:val="00292D3F"/>
    <w:rsid w:val="00292EB0"/>
    <w:rsid w:val="00293C03"/>
    <w:rsid w:val="00295534"/>
    <w:rsid w:val="00295848"/>
    <w:rsid w:val="002961B1"/>
    <w:rsid w:val="00296723"/>
    <w:rsid w:val="002A19AF"/>
    <w:rsid w:val="002A30B3"/>
    <w:rsid w:val="002A59FF"/>
    <w:rsid w:val="002A64C0"/>
    <w:rsid w:val="002A6CA6"/>
    <w:rsid w:val="002A735E"/>
    <w:rsid w:val="002B0B93"/>
    <w:rsid w:val="002B11B9"/>
    <w:rsid w:val="002B1234"/>
    <w:rsid w:val="002B2D5B"/>
    <w:rsid w:val="002B3BBE"/>
    <w:rsid w:val="002B4067"/>
    <w:rsid w:val="002B6129"/>
    <w:rsid w:val="002B6152"/>
    <w:rsid w:val="002B62E5"/>
    <w:rsid w:val="002B6F2C"/>
    <w:rsid w:val="002B7ACB"/>
    <w:rsid w:val="002C04A1"/>
    <w:rsid w:val="002C1EAF"/>
    <w:rsid w:val="002C2639"/>
    <w:rsid w:val="002C3B01"/>
    <w:rsid w:val="002C49A2"/>
    <w:rsid w:val="002C54E6"/>
    <w:rsid w:val="002C70FA"/>
    <w:rsid w:val="002C7289"/>
    <w:rsid w:val="002C7950"/>
    <w:rsid w:val="002D1462"/>
    <w:rsid w:val="002D2E8D"/>
    <w:rsid w:val="002D5A8B"/>
    <w:rsid w:val="002D6A82"/>
    <w:rsid w:val="002D6FCD"/>
    <w:rsid w:val="002D7468"/>
    <w:rsid w:val="002D7B31"/>
    <w:rsid w:val="002E0E02"/>
    <w:rsid w:val="002E0FC7"/>
    <w:rsid w:val="002E222F"/>
    <w:rsid w:val="002E2992"/>
    <w:rsid w:val="002E3B50"/>
    <w:rsid w:val="002E3D58"/>
    <w:rsid w:val="002E479F"/>
    <w:rsid w:val="002E53BB"/>
    <w:rsid w:val="002E5965"/>
    <w:rsid w:val="002F1DCC"/>
    <w:rsid w:val="002F2EC4"/>
    <w:rsid w:val="002F32F7"/>
    <w:rsid w:val="002F6527"/>
    <w:rsid w:val="002F7337"/>
    <w:rsid w:val="002F734A"/>
    <w:rsid w:val="0030024F"/>
    <w:rsid w:val="00300819"/>
    <w:rsid w:val="00300B59"/>
    <w:rsid w:val="00300B61"/>
    <w:rsid w:val="00301557"/>
    <w:rsid w:val="00303C9D"/>
    <w:rsid w:val="003043F9"/>
    <w:rsid w:val="0030464E"/>
    <w:rsid w:val="0030509B"/>
    <w:rsid w:val="00305B9F"/>
    <w:rsid w:val="00305FE0"/>
    <w:rsid w:val="003072CB"/>
    <w:rsid w:val="003076EF"/>
    <w:rsid w:val="00307A4D"/>
    <w:rsid w:val="00311247"/>
    <w:rsid w:val="00314293"/>
    <w:rsid w:val="00314BE1"/>
    <w:rsid w:val="00317EF2"/>
    <w:rsid w:val="00320003"/>
    <w:rsid w:val="0032011E"/>
    <w:rsid w:val="003234CD"/>
    <w:rsid w:val="0032371F"/>
    <w:rsid w:val="00324491"/>
    <w:rsid w:val="0032647E"/>
    <w:rsid w:val="00331FD3"/>
    <w:rsid w:val="003322ED"/>
    <w:rsid w:val="00332507"/>
    <w:rsid w:val="00333660"/>
    <w:rsid w:val="0033403A"/>
    <w:rsid w:val="0033478C"/>
    <w:rsid w:val="003357B0"/>
    <w:rsid w:val="00335DCB"/>
    <w:rsid w:val="00335EA5"/>
    <w:rsid w:val="003405A7"/>
    <w:rsid w:val="00342FA7"/>
    <w:rsid w:val="003438D7"/>
    <w:rsid w:val="003438F4"/>
    <w:rsid w:val="003466EB"/>
    <w:rsid w:val="00350AC4"/>
    <w:rsid w:val="00351B7D"/>
    <w:rsid w:val="00352F1F"/>
    <w:rsid w:val="00354D62"/>
    <w:rsid w:val="00355707"/>
    <w:rsid w:val="003559B0"/>
    <w:rsid w:val="00357E70"/>
    <w:rsid w:val="0036068E"/>
    <w:rsid w:val="00363A3A"/>
    <w:rsid w:val="00364476"/>
    <w:rsid w:val="003646EB"/>
    <w:rsid w:val="00364CF9"/>
    <w:rsid w:val="003652B5"/>
    <w:rsid w:val="003654C4"/>
    <w:rsid w:val="0036572B"/>
    <w:rsid w:val="00365865"/>
    <w:rsid w:val="003665E2"/>
    <w:rsid w:val="00366693"/>
    <w:rsid w:val="00366CC5"/>
    <w:rsid w:val="00366D37"/>
    <w:rsid w:val="00367418"/>
    <w:rsid w:val="00372338"/>
    <w:rsid w:val="0037394D"/>
    <w:rsid w:val="003747D4"/>
    <w:rsid w:val="00375787"/>
    <w:rsid w:val="0037615A"/>
    <w:rsid w:val="003778AC"/>
    <w:rsid w:val="00377C7B"/>
    <w:rsid w:val="00383F0F"/>
    <w:rsid w:val="00386977"/>
    <w:rsid w:val="00387E16"/>
    <w:rsid w:val="00390549"/>
    <w:rsid w:val="003906E3"/>
    <w:rsid w:val="00390A29"/>
    <w:rsid w:val="00390A46"/>
    <w:rsid w:val="00394159"/>
    <w:rsid w:val="00395590"/>
    <w:rsid w:val="003957A7"/>
    <w:rsid w:val="003969DD"/>
    <w:rsid w:val="00397B6F"/>
    <w:rsid w:val="003A1A71"/>
    <w:rsid w:val="003A367B"/>
    <w:rsid w:val="003A3730"/>
    <w:rsid w:val="003A4187"/>
    <w:rsid w:val="003A4560"/>
    <w:rsid w:val="003A4646"/>
    <w:rsid w:val="003A5E1F"/>
    <w:rsid w:val="003A681E"/>
    <w:rsid w:val="003A6853"/>
    <w:rsid w:val="003A767F"/>
    <w:rsid w:val="003B0633"/>
    <w:rsid w:val="003B1EFF"/>
    <w:rsid w:val="003B244C"/>
    <w:rsid w:val="003B2FBC"/>
    <w:rsid w:val="003B61A4"/>
    <w:rsid w:val="003C018D"/>
    <w:rsid w:val="003C0C9B"/>
    <w:rsid w:val="003C118E"/>
    <w:rsid w:val="003C1BC8"/>
    <w:rsid w:val="003C1CF6"/>
    <w:rsid w:val="003C1E75"/>
    <w:rsid w:val="003C39B2"/>
    <w:rsid w:val="003C4163"/>
    <w:rsid w:val="003C62C2"/>
    <w:rsid w:val="003C6FEB"/>
    <w:rsid w:val="003C78BE"/>
    <w:rsid w:val="003D0758"/>
    <w:rsid w:val="003D105F"/>
    <w:rsid w:val="003D2CC7"/>
    <w:rsid w:val="003D3847"/>
    <w:rsid w:val="003D41DB"/>
    <w:rsid w:val="003D521C"/>
    <w:rsid w:val="003D5F56"/>
    <w:rsid w:val="003D6FE5"/>
    <w:rsid w:val="003D7734"/>
    <w:rsid w:val="003D7A0A"/>
    <w:rsid w:val="003E1273"/>
    <w:rsid w:val="003E273E"/>
    <w:rsid w:val="003E39AF"/>
    <w:rsid w:val="003E59BC"/>
    <w:rsid w:val="003E7A26"/>
    <w:rsid w:val="003F069A"/>
    <w:rsid w:val="003F1C52"/>
    <w:rsid w:val="003F3596"/>
    <w:rsid w:val="003F51CA"/>
    <w:rsid w:val="003F6DF4"/>
    <w:rsid w:val="0040179B"/>
    <w:rsid w:val="00401F14"/>
    <w:rsid w:val="0040247A"/>
    <w:rsid w:val="00403CFC"/>
    <w:rsid w:val="004045EA"/>
    <w:rsid w:val="00404699"/>
    <w:rsid w:val="004057FF"/>
    <w:rsid w:val="00405C66"/>
    <w:rsid w:val="00405D6A"/>
    <w:rsid w:val="00406313"/>
    <w:rsid w:val="004071A2"/>
    <w:rsid w:val="0040735F"/>
    <w:rsid w:val="00410F7C"/>
    <w:rsid w:val="00411452"/>
    <w:rsid w:val="004115AA"/>
    <w:rsid w:val="004116B9"/>
    <w:rsid w:val="004116BD"/>
    <w:rsid w:val="00412A93"/>
    <w:rsid w:val="00413016"/>
    <w:rsid w:val="0041383F"/>
    <w:rsid w:val="0042016F"/>
    <w:rsid w:val="00420E73"/>
    <w:rsid w:val="00423033"/>
    <w:rsid w:val="0042349E"/>
    <w:rsid w:val="00425A5B"/>
    <w:rsid w:val="00425D3C"/>
    <w:rsid w:val="00425D80"/>
    <w:rsid w:val="00430604"/>
    <w:rsid w:val="0043083E"/>
    <w:rsid w:val="0043131F"/>
    <w:rsid w:val="004319BC"/>
    <w:rsid w:val="00431A54"/>
    <w:rsid w:val="004327AA"/>
    <w:rsid w:val="00435DD3"/>
    <w:rsid w:val="00440DCE"/>
    <w:rsid w:val="004416FC"/>
    <w:rsid w:val="00442663"/>
    <w:rsid w:val="004430CC"/>
    <w:rsid w:val="00443E1A"/>
    <w:rsid w:val="0044402F"/>
    <w:rsid w:val="00444884"/>
    <w:rsid w:val="00447BC7"/>
    <w:rsid w:val="00447D7D"/>
    <w:rsid w:val="0045003C"/>
    <w:rsid w:val="00451300"/>
    <w:rsid w:val="00451E30"/>
    <w:rsid w:val="0045235F"/>
    <w:rsid w:val="00452533"/>
    <w:rsid w:val="00452768"/>
    <w:rsid w:val="00453A43"/>
    <w:rsid w:val="00453D63"/>
    <w:rsid w:val="00454193"/>
    <w:rsid w:val="00454AAA"/>
    <w:rsid w:val="004559CD"/>
    <w:rsid w:val="00455EF5"/>
    <w:rsid w:val="0045714B"/>
    <w:rsid w:val="00462D9C"/>
    <w:rsid w:val="00465CBB"/>
    <w:rsid w:val="0047014D"/>
    <w:rsid w:val="00472517"/>
    <w:rsid w:val="004761EA"/>
    <w:rsid w:val="0047669A"/>
    <w:rsid w:val="00477E8C"/>
    <w:rsid w:val="004802C0"/>
    <w:rsid w:val="0048043E"/>
    <w:rsid w:val="00482B86"/>
    <w:rsid w:val="00485379"/>
    <w:rsid w:val="00486681"/>
    <w:rsid w:val="004877CC"/>
    <w:rsid w:val="00487DB5"/>
    <w:rsid w:val="00487ED3"/>
    <w:rsid w:val="00487F2F"/>
    <w:rsid w:val="00492429"/>
    <w:rsid w:val="00492584"/>
    <w:rsid w:val="004948A9"/>
    <w:rsid w:val="00494A77"/>
    <w:rsid w:val="0049763B"/>
    <w:rsid w:val="004A1BCD"/>
    <w:rsid w:val="004A2AA4"/>
    <w:rsid w:val="004A3343"/>
    <w:rsid w:val="004A40D6"/>
    <w:rsid w:val="004A4D5A"/>
    <w:rsid w:val="004A4FFB"/>
    <w:rsid w:val="004A53A2"/>
    <w:rsid w:val="004A6060"/>
    <w:rsid w:val="004A6BDF"/>
    <w:rsid w:val="004A78DF"/>
    <w:rsid w:val="004B0384"/>
    <w:rsid w:val="004B131E"/>
    <w:rsid w:val="004B1649"/>
    <w:rsid w:val="004B19B5"/>
    <w:rsid w:val="004B2A0C"/>
    <w:rsid w:val="004B3816"/>
    <w:rsid w:val="004B3A63"/>
    <w:rsid w:val="004B68FA"/>
    <w:rsid w:val="004B6E8F"/>
    <w:rsid w:val="004B70CA"/>
    <w:rsid w:val="004B79E7"/>
    <w:rsid w:val="004C0A63"/>
    <w:rsid w:val="004C1302"/>
    <w:rsid w:val="004C1DDC"/>
    <w:rsid w:val="004C2698"/>
    <w:rsid w:val="004C51AA"/>
    <w:rsid w:val="004C53BF"/>
    <w:rsid w:val="004C5AA8"/>
    <w:rsid w:val="004C5ECA"/>
    <w:rsid w:val="004C7927"/>
    <w:rsid w:val="004C7A57"/>
    <w:rsid w:val="004C7F97"/>
    <w:rsid w:val="004C7FAC"/>
    <w:rsid w:val="004D2646"/>
    <w:rsid w:val="004D2C55"/>
    <w:rsid w:val="004D38BE"/>
    <w:rsid w:val="004D4125"/>
    <w:rsid w:val="004D4327"/>
    <w:rsid w:val="004D4F71"/>
    <w:rsid w:val="004E0F54"/>
    <w:rsid w:val="004E2021"/>
    <w:rsid w:val="004E22CB"/>
    <w:rsid w:val="004E2CE1"/>
    <w:rsid w:val="004E3E62"/>
    <w:rsid w:val="004E4168"/>
    <w:rsid w:val="004E5223"/>
    <w:rsid w:val="004E5DC3"/>
    <w:rsid w:val="004E5FCD"/>
    <w:rsid w:val="004E66A5"/>
    <w:rsid w:val="004E7690"/>
    <w:rsid w:val="004F054E"/>
    <w:rsid w:val="004F184B"/>
    <w:rsid w:val="004F1CFE"/>
    <w:rsid w:val="004F2410"/>
    <w:rsid w:val="004F294D"/>
    <w:rsid w:val="004F2D1B"/>
    <w:rsid w:val="004F4907"/>
    <w:rsid w:val="004F4CA7"/>
    <w:rsid w:val="004F5107"/>
    <w:rsid w:val="004F73FE"/>
    <w:rsid w:val="005006C6"/>
    <w:rsid w:val="00500E0B"/>
    <w:rsid w:val="00500ED2"/>
    <w:rsid w:val="00502F2E"/>
    <w:rsid w:val="0050490C"/>
    <w:rsid w:val="00505719"/>
    <w:rsid w:val="00506B1E"/>
    <w:rsid w:val="00506EBB"/>
    <w:rsid w:val="00511B01"/>
    <w:rsid w:val="00511E1D"/>
    <w:rsid w:val="00511ED9"/>
    <w:rsid w:val="00512CA1"/>
    <w:rsid w:val="00513686"/>
    <w:rsid w:val="0051529B"/>
    <w:rsid w:val="00515FD6"/>
    <w:rsid w:val="005169FB"/>
    <w:rsid w:val="005213B8"/>
    <w:rsid w:val="005224F2"/>
    <w:rsid w:val="00522698"/>
    <w:rsid w:val="00522E8D"/>
    <w:rsid w:val="00523EC9"/>
    <w:rsid w:val="005242BE"/>
    <w:rsid w:val="00524C8F"/>
    <w:rsid w:val="0052649F"/>
    <w:rsid w:val="005315BB"/>
    <w:rsid w:val="00533121"/>
    <w:rsid w:val="00533CFA"/>
    <w:rsid w:val="005348FA"/>
    <w:rsid w:val="00534972"/>
    <w:rsid w:val="00535507"/>
    <w:rsid w:val="0054035D"/>
    <w:rsid w:val="0054142A"/>
    <w:rsid w:val="0054145F"/>
    <w:rsid w:val="005416C9"/>
    <w:rsid w:val="00541D5D"/>
    <w:rsid w:val="00541E5E"/>
    <w:rsid w:val="00542387"/>
    <w:rsid w:val="005424E0"/>
    <w:rsid w:val="0054273B"/>
    <w:rsid w:val="0054340D"/>
    <w:rsid w:val="005434E3"/>
    <w:rsid w:val="00545170"/>
    <w:rsid w:val="0054541E"/>
    <w:rsid w:val="00545962"/>
    <w:rsid w:val="00545E63"/>
    <w:rsid w:val="005468E6"/>
    <w:rsid w:val="00546DA1"/>
    <w:rsid w:val="0054764A"/>
    <w:rsid w:val="00550188"/>
    <w:rsid w:val="005505D3"/>
    <w:rsid w:val="00551F48"/>
    <w:rsid w:val="00551F6A"/>
    <w:rsid w:val="005532AD"/>
    <w:rsid w:val="0055332D"/>
    <w:rsid w:val="00555867"/>
    <w:rsid w:val="0056063A"/>
    <w:rsid w:val="00561ABF"/>
    <w:rsid w:val="00561F27"/>
    <w:rsid w:val="00562F67"/>
    <w:rsid w:val="005643F8"/>
    <w:rsid w:val="00565579"/>
    <w:rsid w:val="005655CF"/>
    <w:rsid w:val="00565639"/>
    <w:rsid w:val="005666CA"/>
    <w:rsid w:val="00566967"/>
    <w:rsid w:val="0056746E"/>
    <w:rsid w:val="00571343"/>
    <w:rsid w:val="00572510"/>
    <w:rsid w:val="00572AB0"/>
    <w:rsid w:val="00573606"/>
    <w:rsid w:val="00573F11"/>
    <w:rsid w:val="0057496E"/>
    <w:rsid w:val="0058085F"/>
    <w:rsid w:val="00580DBE"/>
    <w:rsid w:val="00581B19"/>
    <w:rsid w:val="00581BE4"/>
    <w:rsid w:val="005837E2"/>
    <w:rsid w:val="00584857"/>
    <w:rsid w:val="005848D7"/>
    <w:rsid w:val="00584907"/>
    <w:rsid w:val="00587044"/>
    <w:rsid w:val="005874C0"/>
    <w:rsid w:val="00587682"/>
    <w:rsid w:val="005902EC"/>
    <w:rsid w:val="00590565"/>
    <w:rsid w:val="00590636"/>
    <w:rsid w:val="005919A4"/>
    <w:rsid w:val="00593470"/>
    <w:rsid w:val="00596648"/>
    <w:rsid w:val="00596A8B"/>
    <w:rsid w:val="005970F2"/>
    <w:rsid w:val="005A0559"/>
    <w:rsid w:val="005A109D"/>
    <w:rsid w:val="005A172B"/>
    <w:rsid w:val="005A18EF"/>
    <w:rsid w:val="005A1903"/>
    <w:rsid w:val="005A41EF"/>
    <w:rsid w:val="005A443F"/>
    <w:rsid w:val="005A6877"/>
    <w:rsid w:val="005A74C8"/>
    <w:rsid w:val="005B25FF"/>
    <w:rsid w:val="005B3051"/>
    <w:rsid w:val="005B3375"/>
    <w:rsid w:val="005B3F39"/>
    <w:rsid w:val="005B4621"/>
    <w:rsid w:val="005B71A6"/>
    <w:rsid w:val="005B7693"/>
    <w:rsid w:val="005C0387"/>
    <w:rsid w:val="005C05F9"/>
    <w:rsid w:val="005C0B89"/>
    <w:rsid w:val="005C12F1"/>
    <w:rsid w:val="005C1755"/>
    <w:rsid w:val="005C1EC5"/>
    <w:rsid w:val="005C308D"/>
    <w:rsid w:val="005C43B0"/>
    <w:rsid w:val="005C4610"/>
    <w:rsid w:val="005C4999"/>
    <w:rsid w:val="005C4D1F"/>
    <w:rsid w:val="005C52DD"/>
    <w:rsid w:val="005D1A65"/>
    <w:rsid w:val="005D1E9C"/>
    <w:rsid w:val="005D4171"/>
    <w:rsid w:val="005D6045"/>
    <w:rsid w:val="005D663A"/>
    <w:rsid w:val="005D7FC3"/>
    <w:rsid w:val="005E005B"/>
    <w:rsid w:val="005E1426"/>
    <w:rsid w:val="005E1F0B"/>
    <w:rsid w:val="005E2D5E"/>
    <w:rsid w:val="005E4647"/>
    <w:rsid w:val="005E4C4A"/>
    <w:rsid w:val="005E6627"/>
    <w:rsid w:val="005E6AC4"/>
    <w:rsid w:val="005E6CCA"/>
    <w:rsid w:val="005E7B48"/>
    <w:rsid w:val="005E7BE8"/>
    <w:rsid w:val="005E7D29"/>
    <w:rsid w:val="005F05BA"/>
    <w:rsid w:val="005F3702"/>
    <w:rsid w:val="005F66BA"/>
    <w:rsid w:val="005F6841"/>
    <w:rsid w:val="005F695B"/>
    <w:rsid w:val="00600E33"/>
    <w:rsid w:val="0060484C"/>
    <w:rsid w:val="00604F3B"/>
    <w:rsid w:val="00605D51"/>
    <w:rsid w:val="00607419"/>
    <w:rsid w:val="00607B6F"/>
    <w:rsid w:val="00611451"/>
    <w:rsid w:val="00611C40"/>
    <w:rsid w:val="00612031"/>
    <w:rsid w:val="00612F19"/>
    <w:rsid w:val="00613122"/>
    <w:rsid w:val="006132D5"/>
    <w:rsid w:val="00614236"/>
    <w:rsid w:val="00614FEC"/>
    <w:rsid w:val="0061548C"/>
    <w:rsid w:val="006159D4"/>
    <w:rsid w:val="00615B07"/>
    <w:rsid w:val="0061634D"/>
    <w:rsid w:val="00617533"/>
    <w:rsid w:val="00617AAF"/>
    <w:rsid w:val="00620066"/>
    <w:rsid w:val="00621148"/>
    <w:rsid w:val="00621E7D"/>
    <w:rsid w:val="006234EC"/>
    <w:rsid w:val="00624CED"/>
    <w:rsid w:val="00625238"/>
    <w:rsid w:val="006257F8"/>
    <w:rsid w:val="00625D1A"/>
    <w:rsid w:val="00626B2A"/>
    <w:rsid w:val="00632103"/>
    <w:rsid w:val="00632CD1"/>
    <w:rsid w:val="00632D93"/>
    <w:rsid w:val="00634E53"/>
    <w:rsid w:val="00635136"/>
    <w:rsid w:val="006369E7"/>
    <w:rsid w:val="00637C1B"/>
    <w:rsid w:val="00640903"/>
    <w:rsid w:val="006415B7"/>
    <w:rsid w:val="00641956"/>
    <w:rsid w:val="006442AC"/>
    <w:rsid w:val="0064524E"/>
    <w:rsid w:val="00645587"/>
    <w:rsid w:val="00650F1D"/>
    <w:rsid w:val="00651633"/>
    <w:rsid w:val="00651CD6"/>
    <w:rsid w:val="0065206C"/>
    <w:rsid w:val="00652631"/>
    <w:rsid w:val="00652BF9"/>
    <w:rsid w:val="00652DB7"/>
    <w:rsid w:val="0065424C"/>
    <w:rsid w:val="006557D9"/>
    <w:rsid w:val="00655C35"/>
    <w:rsid w:val="0066020A"/>
    <w:rsid w:val="00660EB2"/>
    <w:rsid w:val="0066282D"/>
    <w:rsid w:val="00662A0F"/>
    <w:rsid w:val="00663DF7"/>
    <w:rsid w:val="006641BC"/>
    <w:rsid w:val="00664454"/>
    <w:rsid w:val="0066486C"/>
    <w:rsid w:val="00665540"/>
    <w:rsid w:val="00665772"/>
    <w:rsid w:val="00670159"/>
    <w:rsid w:val="00670CF2"/>
    <w:rsid w:val="006720E2"/>
    <w:rsid w:val="00672583"/>
    <w:rsid w:val="006730F3"/>
    <w:rsid w:val="0067320E"/>
    <w:rsid w:val="00673537"/>
    <w:rsid w:val="00673603"/>
    <w:rsid w:val="006737F4"/>
    <w:rsid w:val="00674794"/>
    <w:rsid w:val="00674B7B"/>
    <w:rsid w:val="006753D8"/>
    <w:rsid w:val="00675852"/>
    <w:rsid w:val="00680062"/>
    <w:rsid w:val="00680D26"/>
    <w:rsid w:val="00682A5A"/>
    <w:rsid w:val="00682DBC"/>
    <w:rsid w:val="006830AD"/>
    <w:rsid w:val="00683423"/>
    <w:rsid w:val="006871C2"/>
    <w:rsid w:val="00687603"/>
    <w:rsid w:val="00691442"/>
    <w:rsid w:val="00692480"/>
    <w:rsid w:val="00692775"/>
    <w:rsid w:val="00693F07"/>
    <w:rsid w:val="00694B44"/>
    <w:rsid w:val="006951C7"/>
    <w:rsid w:val="0069569B"/>
    <w:rsid w:val="006961C2"/>
    <w:rsid w:val="0069761E"/>
    <w:rsid w:val="006A068A"/>
    <w:rsid w:val="006A28B4"/>
    <w:rsid w:val="006A2AE4"/>
    <w:rsid w:val="006A32E3"/>
    <w:rsid w:val="006A3CBC"/>
    <w:rsid w:val="006A4B65"/>
    <w:rsid w:val="006A5B2C"/>
    <w:rsid w:val="006B0954"/>
    <w:rsid w:val="006B3377"/>
    <w:rsid w:val="006B366D"/>
    <w:rsid w:val="006B3F66"/>
    <w:rsid w:val="006B4319"/>
    <w:rsid w:val="006B47B6"/>
    <w:rsid w:val="006B4F82"/>
    <w:rsid w:val="006B6956"/>
    <w:rsid w:val="006C1795"/>
    <w:rsid w:val="006C17BA"/>
    <w:rsid w:val="006C1D87"/>
    <w:rsid w:val="006C2059"/>
    <w:rsid w:val="006C25FB"/>
    <w:rsid w:val="006C4EEA"/>
    <w:rsid w:val="006C6B2F"/>
    <w:rsid w:val="006C744E"/>
    <w:rsid w:val="006C770F"/>
    <w:rsid w:val="006C7C93"/>
    <w:rsid w:val="006D006D"/>
    <w:rsid w:val="006D3678"/>
    <w:rsid w:val="006D4E5B"/>
    <w:rsid w:val="006D4F57"/>
    <w:rsid w:val="006D5705"/>
    <w:rsid w:val="006D6572"/>
    <w:rsid w:val="006D67C5"/>
    <w:rsid w:val="006D6FC4"/>
    <w:rsid w:val="006D707A"/>
    <w:rsid w:val="006D7514"/>
    <w:rsid w:val="006E0A4E"/>
    <w:rsid w:val="006E1724"/>
    <w:rsid w:val="006E2975"/>
    <w:rsid w:val="006E2E6F"/>
    <w:rsid w:val="006E4A72"/>
    <w:rsid w:val="006E5ACD"/>
    <w:rsid w:val="006E5EE1"/>
    <w:rsid w:val="006E5F7F"/>
    <w:rsid w:val="006E798F"/>
    <w:rsid w:val="006F00E6"/>
    <w:rsid w:val="006F02C8"/>
    <w:rsid w:val="006F095B"/>
    <w:rsid w:val="006F1F02"/>
    <w:rsid w:val="006F29E4"/>
    <w:rsid w:val="006F2DE7"/>
    <w:rsid w:val="006F5B83"/>
    <w:rsid w:val="006F7B82"/>
    <w:rsid w:val="00700993"/>
    <w:rsid w:val="00700B8C"/>
    <w:rsid w:val="00700D42"/>
    <w:rsid w:val="00700D5C"/>
    <w:rsid w:val="00702C31"/>
    <w:rsid w:val="00702E53"/>
    <w:rsid w:val="00703583"/>
    <w:rsid w:val="007046C4"/>
    <w:rsid w:val="00704F3F"/>
    <w:rsid w:val="00705DB9"/>
    <w:rsid w:val="0070633B"/>
    <w:rsid w:val="00707DDA"/>
    <w:rsid w:val="00711130"/>
    <w:rsid w:val="00711EBC"/>
    <w:rsid w:val="007124A1"/>
    <w:rsid w:val="00712724"/>
    <w:rsid w:val="007132C0"/>
    <w:rsid w:val="00714A50"/>
    <w:rsid w:val="007150C2"/>
    <w:rsid w:val="00715C06"/>
    <w:rsid w:val="00717841"/>
    <w:rsid w:val="00717AE1"/>
    <w:rsid w:val="00721133"/>
    <w:rsid w:val="00722F07"/>
    <w:rsid w:val="007304C0"/>
    <w:rsid w:val="00731978"/>
    <w:rsid w:val="00731EBB"/>
    <w:rsid w:val="0073259A"/>
    <w:rsid w:val="007359A8"/>
    <w:rsid w:val="00737903"/>
    <w:rsid w:val="00740A2A"/>
    <w:rsid w:val="007410DD"/>
    <w:rsid w:val="007418F2"/>
    <w:rsid w:val="00741C3B"/>
    <w:rsid w:val="00742254"/>
    <w:rsid w:val="007422CD"/>
    <w:rsid w:val="00743ECF"/>
    <w:rsid w:val="007466EF"/>
    <w:rsid w:val="00747200"/>
    <w:rsid w:val="00752367"/>
    <w:rsid w:val="00752748"/>
    <w:rsid w:val="00752AB8"/>
    <w:rsid w:val="00753026"/>
    <w:rsid w:val="00754441"/>
    <w:rsid w:val="007573C6"/>
    <w:rsid w:val="00757ED4"/>
    <w:rsid w:val="0076067E"/>
    <w:rsid w:val="00762560"/>
    <w:rsid w:val="00764CD3"/>
    <w:rsid w:val="00765598"/>
    <w:rsid w:val="00765E50"/>
    <w:rsid w:val="00770378"/>
    <w:rsid w:val="0077054A"/>
    <w:rsid w:val="00770A84"/>
    <w:rsid w:val="00770D53"/>
    <w:rsid w:val="007720EA"/>
    <w:rsid w:val="00772CFA"/>
    <w:rsid w:val="0077396A"/>
    <w:rsid w:val="00773A40"/>
    <w:rsid w:val="00774294"/>
    <w:rsid w:val="00774449"/>
    <w:rsid w:val="007762E2"/>
    <w:rsid w:val="007764FD"/>
    <w:rsid w:val="00776992"/>
    <w:rsid w:val="0077713F"/>
    <w:rsid w:val="007807F8"/>
    <w:rsid w:val="0078088B"/>
    <w:rsid w:val="0078121A"/>
    <w:rsid w:val="00781704"/>
    <w:rsid w:val="00782B5F"/>
    <w:rsid w:val="00782DCF"/>
    <w:rsid w:val="00783A12"/>
    <w:rsid w:val="007850A1"/>
    <w:rsid w:val="007853EF"/>
    <w:rsid w:val="00785754"/>
    <w:rsid w:val="007865F9"/>
    <w:rsid w:val="00786C98"/>
    <w:rsid w:val="00787DF2"/>
    <w:rsid w:val="00790976"/>
    <w:rsid w:val="00792FCC"/>
    <w:rsid w:val="00793BD9"/>
    <w:rsid w:val="0079797D"/>
    <w:rsid w:val="00797E1C"/>
    <w:rsid w:val="007A5F2D"/>
    <w:rsid w:val="007A7DBD"/>
    <w:rsid w:val="007B0146"/>
    <w:rsid w:val="007B2F9F"/>
    <w:rsid w:val="007B412B"/>
    <w:rsid w:val="007B43A6"/>
    <w:rsid w:val="007B4710"/>
    <w:rsid w:val="007B510D"/>
    <w:rsid w:val="007B52DC"/>
    <w:rsid w:val="007B56E1"/>
    <w:rsid w:val="007B6005"/>
    <w:rsid w:val="007B655C"/>
    <w:rsid w:val="007B7632"/>
    <w:rsid w:val="007C0ED4"/>
    <w:rsid w:val="007C1C07"/>
    <w:rsid w:val="007C2180"/>
    <w:rsid w:val="007C278B"/>
    <w:rsid w:val="007C2AE6"/>
    <w:rsid w:val="007C2F05"/>
    <w:rsid w:val="007C3387"/>
    <w:rsid w:val="007C344B"/>
    <w:rsid w:val="007C3F15"/>
    <w:rsid w:val="007C59AA"/>
    <w:rsid w:val="007C7F4A"/>
    <w:rsid w:val="007D093E"/>
    <w:rsid w:val="007D2A80"/>
    <w:rsid w:val="007D2B23"/>
    <w:rsid w:val="007D368B"/>
    <w:rsid w:val="007D3753"/>
    <w:rsid w:val="007D4AAC"/>
    <w:rsid w:val="007D5629"/>
    <w:rsid w:val="007D5C63"/>
    <w:rsid w:val="007D68A1"/>
    <w:rsid w:val="007E031D"/>
    <w:rsid w:val="007E0662"/>
    <w:rsid w:val="007E0EA8"/>
    <w:rsid w:val="007E1A41"/>
    <w:rsid w:val="007E26A5"/>
    <w:rsid w:val="007E2D25"/>
    <w:rsid w:val="007E2DA6"/>
    <w:rsid w:val="007E506A"/>
    <w:rsid w:val="007E5A06"/>
    <w:rsid w:val="007E5B2C"/>
    <w:rsid w:val="007E6A3C"/>
    <w:rsid w:val="007E6F8A"/>
    <w:rsid w:val="007E74A1"/>
    <w:rsid w:val="007F0399"/>
    <w:rsid w:val="007F05D2"/>
    <w:rsid w:val="007F43C7"/>
    <w:rsid w:val="007F44CE"/>
    <w:rsid w:val="007F457F"/>
    <w:rsid w:val="007F463B"/>
    <w:rsid w:val="007F5157"/>
    <w:rsid w:val="007F5B8E"/>
    <w:rsid w:val="007F7271"/>
    <w:rsid w:val="008003B5"/>
    <w:rsid w:val="0080187D"/>
    <w:rsid w:val="00802DFC"/>
    <w:rsid w:val="008042E5"/>
    <w:rsid w:val="00806087"/>
    <w:rsid w:val="00806824"/>
    <w:rsid w:val="00806EA0"/>
    <w:rsid w:val="00807675"/>
    <w:rsid w:val="00807AFF"/>
    <w:rsid w:val="00810CD6"/>
    <w:rsid w:val="00811381"/>
    <w:rsid w:val="008114EA"/>
    <w:rsid w:val="008120FA"/>
    <w:rsid w:val="00812607"/>
    <w:rsid w:val="00812F99"/>
    <w:rsid w:val="00813003"/>
    <w:rsid w:val="008135CC"/>
    <w:rsid w:val="008144E6"/>
    <w:rsid w:val="00814B23"/>
    <w:rsid w:val="0081566E"/>
    <w:rsid w:val="008157DB"/>
    <w:rsid w:val="008164BF"/>
    <w:rsid w:val="00817714"/>
    <w:rsid w:val="00817E0F"/>
    <w:rsid w:val="008213FA"/>
    <w:rsid w:val="00821449"/>
    <w:rsid w:val="00821476"/>
    <w:rsid w:val="00822070"/>
    <w:rsid w:val="008230D3"/>
    <w:rsid w:val="008237CB"/>
    <w:rsid w:val="00824846"/>
    <w:rsid w:val="00824EF2"/>
    <w:rsid w:val="0082702B"/>
    <w:rsid w:val="00827899"/>
    <w:rsid w:val="00830867"/>
    <w:rsid w:val="0083148E"/>
    <w:rsid w:val="00831AE1"/>
    <w:rsid w:val="0083228F"/>
    <w:rsid w:val="00832609"/>
    <w:rsid w:val="00834FED"/>
    <w:rsid w:val="008365BF"/>
    <w:rsid w:val="00837BA6"/>
    <w:rsid w:val="00837CBC"/>
    <w:rsid w:val="00840BD0"/>
    <w:rsid w:val="00840C7D"/>
    <w:rsid w:val="00840CDD"/>
    <w:rsid w:val="008414A6"/>
    <w:rsid w:val="00841E7E"/>
    <w:rsid w:val="00844563"/>
    <w:rsid w:val="00844728"/>
    <w:rsid w:val="00846C6F"/>
    <w:rsid w:val="00847428"/>
    <w:rsid w:val="00851456"/>
    <w:rsid w:val="0085179C"/>
    <w:rsid w:val="00852620"/>
    <w:rsid w:val="00852AB1"/>
    <w:rsid w:val="0085382A"/>
    <w:rsid w:val="00854B69"/>
    <w:rsid w:val="00857E86"/>
    <w:rsid w:val="008619F6"/>
    <w:rsid w:val="0086290C"/>
    <w:rsid w:val="00863BB3"/>
    <w:rsid w:val="00865436"/>
    <w:rsid w:val="00866387"/>
    <w:rsid w:val="008670CF"/>
    <w:rsid w:val="008677E4"/>
    <w:rsid w:val="00867D52"/>
    <w:rsid w:val="00867DA5"/>
    <w:rsid w:val="00871EDE"/>
    <w:rsid w:val="008724AD"/>
    <w:rsid w:val="0087398E"/>
    <w:rsid w:val="00873995"/>
    <w:rsid w:val="008740F8"/>
    <w:rsid w:val="008748F9"/>
    <w:rsid w:val="00874C6B"/>
    <w:rsid w:val="00874D20"/>
    <w:rsid w:val="008760D3"/>
    <w:rsid w:val="00876D25"/>
    <w:rsid w:val="00876F5C"/>
    <w:rsid w:val="00877882"/>
    <w:rsid w:val="00880120"/>
    <w:rsid w:val="00880510"/>
    <w:rsid w:val="008810A0"/>
    <w:rsid w:val="00881718"/>
    <w:rsid w:val="008818C6"/>
    <w:rsid w:val="00881FFF"/>
    <w:rsid w:val="00882640"/>
    <w:rsid w:val="00882AD6"/>
    <w:rsid w:val="00884444"/>
    <w:rsid w:val="00885FD9"/>
    <w:rsid w:val="00886233"/>
    <w:rsid w:val="00886760"/>
    <w:rsid w:val="00886DED"/>
    <w:rsid w:val="0088718E"/>
    <w:rsid w:val="00887D9C"/>
    <w:rsid w:val="008906CA"/>
    <w:rsid w:val="00892642"/>
    <w:rsid w:val="0089291F"/>
    <w:rsid w:val="00893391"/>
    <w:rsid w:val="00893601"/>
    <w:rsid w:val="008963EA"/>
    <w:rsid w:val="008A0CDE"/>
    <w:rsid w:val="008A10E3"/>
    <w:rsid w:val="008A236C"/>
    <w:rsid w:val="008A41FA"/>
    <w:rsid w:val="008A46B4"/>
    <w:rsid w:val="008A4B08"/>
    <w:rsid w:val="008A4FD5"/>
    <w:rsid w:val="008A57A7"/>
    <w:rsid w:val="008A5920"/>
    <w:rsid w:val="008A6F49"/>
    <w:rsid w:val="008A7189"/>
    <w:rsid w:val="008B0DF6"/>
    <w:rsid w:val="008B3DFE"/>
    <w:rsid w:val="008B4385"/>
    <w:rsid w:val="008C1E6A"/>
    <w:rsid w:val="008C2AD2"/>
    <w:rsid w:val="008C5BE4"/>
    <w:rsid w:val="008C6142"/>
    <w:rsid w:val="008C7F6A"/>
    <w:rsid w:val="008D1F0D"/>
    <w:rsid w:val="008E0E1D"/>
    <w:rsid w:val="008E1257"/>
    <w:rsid w:val="008E320A"/>
    <w:rsid w:val="008E3963"/>
    <w:rsid w:val="008E3E4A"/>
    <w:rsid w:val="008E4663"/>
    <w:rsid w:val="008E6D06"/>
    <w:rsid w:val="008F0AB5"/>
    <w:rsid w:val="008F0B9F"/>
    <w:rsid w:val="008F0D99"/>
    <w:rsid w:val="008F0DB0"/>
    <w:rsid w:val="008F2FBE"/>
    <w:rsid w:val="008F53A1"/>
    <w:rsid w:val="008F544D"/>
    <w:rsid w:val="008F621D"/>
    <w:rsid w:val="008F6583"/>
    <w:rsid w:val="008F66BB"/>
    <w:rsid w:val="008F681E"/>
    <w:rsid w:val="008F79C7"/>
    <w:rsid w:val="00900B41"/>
    <w:rsid w:val="00901AB2"/>
    <w:rsid w:val="00901FD7"/>
    <w:rsid w:val="0090305D"/>
    <w:rsid w:val="0090351E"/>
    <w:rsid w:val="00905109"/>
    <w:rsid w:val="00907018"/>
    <w:rsid w:val="00911D9F"/>
    <w:rsid w:val="00911FBA"/>
    <w:rsid w:val="00912498"/>
    <w:rsid w:val="0091288F"/>
    <w:rsid w:val="00913B2E"/>
    <w:rsid w:val="009159F5"/>
    <w:rsid w:val="00915AEA"/>
    <w:rsid w:val="00916C2D"/>
    <w:rsid w:val="00920AAC"/>
    <w:rsid w:val="00920BD5"/>
    <w:rsid w:val="00921F52"/>
    <w:rsid w:val="0092372C"/>
    <w:rsid w:val="009252CB"/>
    <w:rsid w:val="00925E8F"/>
    <w:rsid w:val="009276E0"/>
    <w:rsid w:val="00927ED1"/>
    <w:rsid w:val="009300BD"/>
    <w:rsid w:val="00930112"/>
    <w:rsid w:val="009311A4"/>
    <w:rsid w:val="00931B2C"/>
    <w:rsid w:val="00934456"/>
    <w:rsid w:val="0093741E"/>
    <w:rsid w:val="00937694"/>
    <w:rsid w:val="00937DCE"/>
    <w:rsid w:val="00941FB1"/>
    <w:rsid w:val="00943C39"/>
    <w:rsid w:val="009448B3"/>
    <w:rsid w:val="00945376"/>
    <w:rsid w:val="00945507"/>
    <w:rsid w:val="009465C1"/>
    <w:rsid w:val="00946965"/>
    <w:rsid w:val="00946DF2"/>
    <w:rsid w:val="00947D24"/>
    <w:rsid w:val="009513C4"/>
    <w:rsid w:val="0095153C"/>
    <w:rsid w:val="009527FD"/>
    <w:rsid w:val="00952CB5"/>
    <w:rsid w:val="00953658"/>
    <w:rsid w:val="009549EE"/>
    <w:rsid w:val="0095503C"/>
    <w:rsid w:val="00955C7F"/>
    <w:rsid w:val="00957965"/>
    <w:rsid w:val="00957A03"/>
    <w:rsid w:val="0096084C"/>
    <w:rsid w:val="00961070"/>
    <w:rsid w:val="00961287"/>
    <w:rsid w:val="0096263B"/>
    <w:rsid w:val="009627BB"/>
    <w:rsid w:val="0096536A"/>
    <w:rsid w:val="00967016"/>
    <w:rsid w:val="00970BB1"/>
    <w:rsid w:val="009710FF"/>
    <w:rsid w:val="00972C1A"/>
    <w:rsid w:val="00972D1F"/>
    <w:rsid w:val="00973C2E"/>
    <w:rsid w:val="009747BC"/>
    <w:rsid w:val="00974FCE"/>
    <w:rsid w:val="009753F2"/>
    <w:rsid w:val="00976230"/>
    <w:rsid w:val="00977311"/>
    <w:rsid w:val="00980D40"/>
    <w:rsid w:val="00982744"/>
    <w:rsid w:val="00982981"/>
    <w:rsid w:val="00984275"/>
    <w:rsid w:val="00984937"/>
    <w:rsid w:val="00985F60"/>
    <w:rsid w:val="00986ACA"/>
    <w:rsid w:val="00986F31"/>
    <w:rsid w:val="0098729B"/>
    <w:rsid w:val="009875A4"/>
    <w:rsid w:val="00987FE5"/>
    <w:rsid w:val="009919CB"/>
    <w:rsid w:val="0099300D"/>
    <w:rsid w:val="0099512B"/>
    <w:rsid w:val="00995E12"/>
    <w:rsid w:val="009965E7"/>
    <w:rsid w:val="009969FB"/>
    <w:rsid w:val="00996B10"/>
    <w:rsid w:val="009976DC"/>
    <w:rsid w:val="00997D06"/>
    <w:rsid w:val="009A06CD"/>
    <w:rsid w:val="009A0917"/>
    <w:rsid w:val="009A1E0C"/>
    <w:rsid w:val="009A25BD"/>
    <w:rsid w:val="009A30E5"/>
    <w:rsid w:val="009A347A"/>
    <w:rsid w:val="009A52B3"/>
    <w:rsid w:val="009A53A6"/>
    <w:rsid w:val="009A5D1A"/>
    <w:rsid w:val="009A7E5D"/>
    <w:rsid w:val="009A7F87"/>
    <w:rsid w:val="009B16ED"/>
    <w:rsid w:val="009B2077"/>
    <w:rsid w:val="009B28C2"/>
    <w:rsid w:val="009B29F6"/>
    <w:rsid w:val="009B6EE3"/>
    <w:rsid w:val="009B7E23"/>
    <w:rsid w:val="009B7F2D"/>
    <w:rsid w:val="009C04D1"/>
    <w:rsid w:val="009C1133"/>
    <w:rsid w:val="009C2AD9"/>
    <w:rsid w:val="009C2E0E"/>
    <w:rsid w:val="009C31D8"/>
    <w:rsid w:val="009C42BE"/>
    <w:rsid w:val="009C4A73"/>
    <w:rsid w:val="009C5AAD"/>
    <w:rsid w:val="009C6080"/>
    <w:rsid w:val="009C6478"/>
    <w:rsid w:val="009C6B52"/>
    <w:rsid w:val="009C7DA5"/>
    <w:rsid w:val="009C7F10"/>
    <w:rsid w:val="009D017A"/>
    <w:rsid w:val="009D40F4"/>
    <w:rsid w:val="009D42DF"/>
    <w:rsid w:val="009D5058"/>
    <w:rsid w:val="009D53BF"/>
    <w:rsid w:val="009D5BF8"/>
    <w:rsid w:val="009D660F"/>
    <w:rsid w:val="009D752C"/>
    <w:rsid w:val="009E1C97"/>
    <w:rsid w:val="009E225B"/>
    <w:rsid w:val="009E3F53"/>
    <w:rsid w:val="009E53C9"/>
    <w:rsid w:val="009E5FCD"/>
    <w:rsid w:val="009E6E33"/>
    <w:rsid w:val="009E7343"/>
    <w:rsid w:val="009E79B0"/>
    <w:rsid w:val="009E7B00"/>
    <w:rsid w:val="009E7F25"/>
    <w:rsid w:val="009E7F5A"/>
    <w:rsid w:val="009F0CF3"/>
    <w:rsid w:val="009F124F"/>
    <w:rsid w:val="009F2241"/>
    <w:rsid w:val="009F2C8A"/>
    <w:rsid w:val="009F4537"/>
    <w:rsid w:val="009F5F63"/>
    <w:rsid w:val="009F7790"/>
    <w:rsid w:val="00A01B4F"/>
    <w:rsid w:val="00A0516A"/>
    <w:rsid w:val="00A05735"/>
    <w:rsid w:val="00A05AAE"/>
    <w:rsid w:val="00A10094"/>
    <w:rsid w:val="00A10CE7"/>
    <w:rsid w:val="00A1258D"/>
    <w:rsid w:val="00A12E17"/>
    <w:rsid w:val="00A12E18"/>
    <w:rsid w:val="00A136B0"/>
    <w:rsid w:val="00A13BBE"/>
    <w:rsid w:val="00A13E89"/>
    <w:rsid w:val="00A14C50"/>
    <w:rsid w:val="00A150A6"/>
    <w:rsid w:val="00A15164"/>
    <w:rsid w:val="00A15296"/>
    <w:rsid w:val="00A1546B"/>
    <w:rsid w:val="00A16B22"/>
    <w:rsid w:val="00A16D57"/>
    <w:rsid w:val="00A204EE"/>
    <w:rsid w:val="00A222C7"/>
    <w:rsid w:val="00A22389"/>
    <w:rsid w:val="00A224B3"/>
    <w:rsid w:val="00A22CC4"/>
    <w:rsid w:val="00A25BB1"/>
    <w:rsid w:val="00A2679E"/>
    <w:rsid w:val="00A2760E"/>
    <w:rsid w:val="00A3000E"/>
    <w:rsid w:val="00A30C6E"/>
    <w:rsid w:val="00A315B9"/>
    <w:rsid w:val="00A31CF4"/>
    <w:rsid w:val="00A3225F"/>
    <w:rsid w:val="00A32F64"/>
    <w:rsid w:val="00A339EB"/>
    <w:rsid w:val="00A34769"/>
    <w:rsid w:val="00A34952"/>
    <w:rsid w:val="00A35824"/>
    <w:rsid w:val="00A4019F"/>
    <w:rsid w:val="00A44EE1"/>
    <w:rsid w:val="00A46088"/>
    <w:rsid w:val="00A46D9B"/>
    <w:rsid w:val="00A470A6"/>
    <w:rsid w:val="00A50C8C"/>
    <w:rsid w:val="00A5314D"/>
    <w:rsid w:val="00A53B75"/>
    <w:rsid w:val="00A54FA1"/>
    <w:rsid w:val="00A562DC"/>
    <w:rsid w:val="00A563AD"/>
    <w:rsid w:val="00A56A2A"/>
    <w:rsid w:val="00A57A0D"/>
    <w:rsid w:val="00A61C47"/>
    <w:rsid w:val="00A63615"/>
    <w:rsid w:val="00A64917"/>
    <w:rsid w:val="00A64A00"/>
    <w:rsid w:val="00A652A1"/>
    <w:rsid w:val="00A658C4"/>
    <w:rsid w:val="00A65BB1"/>
    <w:rsid w:val="00A66A99"/>
    <w:rsid w:val="00A6742D"/>
    <w:rsid w:val="00A67F2F"/>
    <w:rsid w:val="00A72D9A"/>
    <w:rsid w:val="00A733B5"/>
    <w:rsid w:val="00A7363C"/>
    <w:rsid w:val="00A74F35"/>
    <w:rsid w:val="00A75157"/>
    <w:rsid w:val="00A755E9"/>
    <w:rsid w:val="00A75DAC"/>
    <w:rsid w:val="00A76ED3"/>
    <w:rsid w:val="00A772B0"/>
    <w:rsid w:val="00A77640"/>
    <w:rsid w:val="00A80D0C"/>
    <w:rsid w:val="00A81BE2"/>
    <w:rsid w:val="00A82014"/>
    <w:rsid w:val="00A825FB"/>
    <w:rsid w:val="00A8289F"/>
    <w:rsid w:val="00A83D24"/>
    <w:rsid w:val="00A84FF6"/>
    <w:rsid w:val="00A85AA2"/>
    <w:rsid w:val="00A86AA7"/>
    <w:rsid w:val="00A872FF"/>
    <w:rsid w:val="00A90A38"/>
    <w:rsid w:val="00A9147D"/>
    <w:rsid w:val="00A9196D"/>
    <w:rsid w:val="00A91AA0"/>
    <w:rsid w:val="00A9336B"/>
    <w:rsid w:val="00A96109"/>
    <w:rsid w:val="00A96601"/>
    <w:rsid w:val="00A969C1"/>
    <w:rsid w:val="00A97F14"/>
    <w:rsid w:val="00AA12F0"/>
    <w:rsid w:val="00AA1AA6"/>
    <w:rsid w:val="00AA2BEC"/>
    <w:rsid w:val="00AA3E34"/>
    <w:rsid w:val="00AA3FB7"/>
    <w:rsid w:val="00AA57D4"/>
    <w:rsid w:val="00AA5D3B"/>
    <w:rsid w:val="00AA653A"/>
    <w:rsid w:val="00AB064B"/>
    <w:rsid w:val="00AB0A2B"/>
    <w:rsid w:val="00AB0E70"/>
    <w:rsid w:val="00AB1105"/>
    <w:rsid w:val="00AB1777"/>
    <w:rsid w:val="00AB1AD8"/>
    <w:rsid w:val="00AB2060"/>
    <w:rsid w:val="00AB2BAC"/>
    <w:rsid w:val="00AB3071"/>
    <w:rsid w:val="00AB5A62"/>
    <w:rsid w:val="00AB6179"/>
    <w:rsid w:val="00AB6570"/>
    <w:rsid w:val="00AB6818"/>
    <w:rsid w:val="00AB74A6"/>
    <w:rsid w:val="00AC1C89"/>
    <w:rsid w:val="00AC2F3B"/>
    <w:rsid w:val="00AC3100"/>
    <w:rsid w:val="00AC3922"/>
    <w:rsid w:val="00AC4301"/>
    <w:rsid w:val="00AC6107"/>
    <w:rsid w:val="00AC625B"/>
    <w:rsid w:val="00AC7735"/>
    <w:rsid w:val="00AD030C"/>
    <w:rsid w:val="00AD17BE"/>
    <w:rsid w:val="00AD27B2"/>
    <w:rsid w:val="00AD3784"/>
    <w:rsid w:val="00AD3A3E"/>
    <w:rsid w:val="00AD589E"/>
    <w:rsid w:val="00AD5AD6"/>
    <w:rsid w:val="00AD5EBA"/>
    <w:rsid w:val="00AE04D0"/>
    <w:rsid w:val="00AE0581"/>
    <w:rsid w:val="00AE0894"/>
    <w:rsid w:val="00AE16A1"/>
    <w:rsid w:val="00AE18B0"/>
    <w:rsid w:val="00AE20EA"/>
    <w:rsid w:val="00AE216E"/>
    <w:rsid w:val="00AE268D"/>
    <w:rsid w:val="00AE2F11"/>
    <w:rsid w:val="00AE325E"/>
    <w:rsid w:val="00AE37CA"/>
    <w:rsid w:val="00AE39A2"/>
    <w:rsid w:val="00AE4A0C"/>
    <w:rsid w:val="00AE4D3D"/>
    <w:rsid w:val="00AE6907"/>
    <w:rsid w:val="00AF011D"/>
    <w:rsid w:val="00AF0C8D"/>
    <w:rsid w:val="00AF2016"/>
    <w:rsid w:val="00AF3218"/>
    <w:rsid w:val="00AF4085"/>
    <w:rsid w:val="00AF66FD"/>
    <w:rsid w:val="00AF6E56"/>
    <w:rsid w:val="00B00594"/>
    <w:rsid w:val="00B0100F"/>
    <w:rsid w:val="00B01743"/>
    <w:rsid w:val="00B019B3"/>
    <w:rsid w:val="00B0277F"/>
    <w:rsid w:val="00B042F7"/>
    <w:rsid w:val="00B045C6"/>
    <w:rsid w:val="00B075B6"/>
    <w:rsid w:val="00B127B5"/>
    <w:rsid w:val="00B12D08"/>
    <w:rsid w:val="00B134BE"/>
    <w:rsid w:val="00B138AE"/>
    <w:rsid w:val="00B138BA"/>
    <w:rsid w:val="00B13F87"/>
    <w:rsid w:val="00B153BB"/>
    <w:rsid w:val="00B158D0"/>
    <w:rsid w:val="00B16C12"/>
    <w:rsid w:val="00B17416"/>
    <w:rsid w:val="00B17427"/>
    <w:rsid w:val="00B20723"/>
    <w:rsid w:val="00B20D0A"/>
    <w:rsid w:val="00B221B8"/>
    <w:rsid w:val="00B222D8"/>
    <w:rsid w:val="00B24191"/>
    <w:rsid w:val="00B248C1"/>
    <w:rsid w:val="00B2497C"/>
    <w:rsid w:val="00B24EAE"/>
    <w:rsid w:val="00B271D1"/>
    <w:rsid w:val="00B27B49"/>
    <w:rsid w:val="00B27C74"/>
    <w:rsid w:val="00B302A0"/>
    <w:rsid w:val="00B31877"/>
    <w:rsid w:val="00B3197D"/>
    <w:rsid w:val="00B31E64"/>
    <w:rsid w:val="00B33470"/>
    <w:rsid w:val="00B34176"/>
    <w:rsid w:val="00B3516E"/>
    <w:rsid w:val="00B3580A"/>
    <w:rsid w:val="00B35A48"/>
    <w:rsid w:val="00B35BAB"/>
    <w:rsid w:val="00B3628E"/>
    <w:rsid w:val="00B377C7"/>
    <w:rsid w:val="00B40B1E"/>
    <w:rsid w:val="00B410B1"/>
    <w:rsid w:val="00B41558"/>
    <w:rsid w:val="00B42C2F"/>
    <w:rsid w:val="00B436C1"/>
    <w:rsid w:val="00B439A6"/>
    <w:rsid w:val="00B44F7E"/>
    <w:rsid w:val="00B45725"/>
    <w:rsid w:val="00B50B87"/>
    <w:rsid w:val="00B50F95"/>
    <w:rsid w:val="00B51278"/>
    <w:rsid w:val="00B53709"/>
    <w:rsid w:val="00B53C8E"/>
    <w:rsid w:val="00B53DE9"/>
    <w:rsid w:val="00B55FE4"/>
    <w:rsid w:val="00B56439"/>
    <w:rsid w:val="00B56A56"/>
    <w:rsid w:val="00B56F05"/>
    <w:rsid w:val="00B57B42"/>
    <w:rsid w:val="00B57EF3"/>
    <w:rsid w:val="00B60BBF"/>
    <w:rsid w:val="00B60D49"/>
    <w:rsid w:val="00B6100D"/>
    <w:rsid w:val="00B63E14"/>
    <w:rsid w:val="00B64ACC"/>
    <w:rsid w:val="00B65F68"/>
    <w:rsid w:val="00B70109"/>
    <w:rsid w:val="00B7092E"/>
    <w:rsid w:val="00B70E35"/>
    <w:rsid w:val="00B71111"/>
    <w:rsid w:val="00B71A49"/>
    <w:rsid w:val="00B71EAB"/>
    <w:rsid w:val="00B734BD"/>
    <w:rsid w:val="00B75026"/>
    <w:rsid w:val="00B75671"/>
    <w:rsid w:val="00B75D5F"/>
    <w:rsid w:val="00B77F7F"/>
    <w:rsid w:val="00B8215D"/>
    <w:rsid w:val="00B845DD"/>
    <w:rsid w:val="00B856A4"/>
    <w:rsid w:val="00B86E81"/>
    <w:rsid w:val="00B872E3"/>
    <w:rsid w:val="00B90482"/>
    <w:rsid w:val="00B910B1"/>
    <w:rsid w:val="00B92572"/>
    <w:rsid w:val="00B927B3"/>
    <w:rsid w:val="00B928CF"/>
    <w:rsid w:val="00B93093"/>
    <w:rsid w:val="00B94D90"/>
    <w:rsid w:val="00B95B4E"/>
    <w:rsid w:val="00B95C57"/>
    <w:rsid w:val="00BA1C6C"/>
    <w:rsid w:val="00BA3228"/>
    <w:rsid w:val="00BB01E6"/>
    <w:rsid w:val="00BB1170"/>
    <w:rsid w:val="00BB1632"/>
    <w:rsid w:val="00BB1FD3"/>
    <w:rsid w:val="00BB23C7"/>
    <w:rsid w:val="00BB2F8B"/>
    <w:rsid w:val="00BB4D24"/>
    <w:rsid w:val="00BB4F08"/>
    <w:rsid w:val="00BB56C1"/>
    <w:rsid w:val="00BB5A14"/>
    <w:rsid w:val="00BB7F9B"/>
    <w:rsid w:val="00BC40E4"/>
    <w:rsid w:val="00BC5F17"/>
    <w:rsid w:val="00BC6EC5"/>
    <w:rsid w:val="00BC6FAC"/>
    <w:rsid w:val="00BD0C36"/>
    <w:rsid w:val="00BD2111"/>
    <w:rsid w:val="00BD2725"/>
    <w:rsid w:val="00BD27B0"/>
    <w:rsid w:val="00BD4764"/>
    <w:rsid w:val="00BD4988"/>
    <w:rsid w:val="00BD504D"/>
    <w:rsid w:val="00BD7BA1"/>
    <w:rsid w:val="00BE0A2A"/>
    <w:rsid w:val="00BE2BE7"/>
    <w:rsid w:val="00BE32AB"/>
    <w:rsid w:val="00BE3CCB"/>
    <w:rsid w:val="00BE3F5D"/>
    <w:rsid w:val="00BE532F"/>
    <w:rsid w:val="00BE5BEA"/>
    <w:rsid w:val="00BE5ED0"/>
    <w:rsid w:val="00BE6E0F"/>
    <w:rsid w:val="00BF00AB"/>
    <w:rsid w:val="00BF1460"/>
    <w:rsid w:val="00BF37E3"/>
    <w:rsid w:val="00BF7180"/>
    <w:rsid w:val="00BF752C"/>
    <w:rsid w:val="00BF784E"/>
    <w:rsid w:val="00BF7A92"/>
    <w:rsid w:val="00BF7C8A"/>
    <w:rsid w:val="00C00177"/>
    <w:rsid w:val="00C00683"/>
    <w:rsid w:val="00C00A23"/>
    <w:rsid w:val="00C00D50"/>
    <w:rsid w:val="00C01379"/>
    <w:rsid w:val="00C02A70"/>
    <w:rsid w:val="00C02FD0"/>
    <w:rsid w:val="00C03298"/>
    <w:rsid w:val="00C03925"/>
    <w:rsid w:val="00C03EF5"/>
    <w:rsid w:val="00C06FF8"/>
    <w:rsid w:val="00C07622"/>
    <w:rsid w:val="00C10C7C"/>
    <w:rsid w:val="00C11475"/>
    <w:rsid w:val="00C119A6"/>
    <w:rsid w:val="00C119CC"/>
    <w:rsid w:val="00C12063"/>
    <w:rsid w:val="00C12592"/>
    <w:rsid w:val="00C127DE"/>
    <w:rsid w:val="00C161E0"/>
    <w:rsid w:val="00C17193"/>
    <w:rsid w:val="00C20CF1"/>
    <w:rsid w:val="00C219E0"/>
    <w:rsid w:val="00C22EA1"/>
    <w:rsid w:val="00C2325A"/>
    <w:rsid w:val="00C24978"/>
    <w:rsid w:val="00C2580B"/>
    <w:rsid w:val="00C259A6"/>
    <w:rsid w:val="00C2678B"/>
    <w:rsid w:val="00C27DB3"/>
    <w:rsid w:val="00C31105"/>
    <w:rsid w:val="00C31281"/>
    <w:rsid w:val="00C31FAB"/>
    <w:rsid w:val="00C33E7F"/>
    <w:rsid w:val="00C34703"/>
    <w:rsid w:val="00C34CFC"/>
    <w:rsid w:val="00C35086"/>
    <w:rsid w:val="00C363DA"/>
    <w:rsid w:val="00C36847"/>
    <w:rsid w:val="00C378DD"/>
    <w:rsid w:val="00C37EDE"/>
    <w:rsid w:val="00C4259F"/>
    <w:rsid w:val="00C444FE"/>
    <w:rsid w:val="00C44BFA"/>
    <w:rsid w:val="00C45E5A"/>
    <w:rsid w:val="00C4618D"/>
    <w:rsid w:val="00C468B7"/>
    <w:rsid w:val="00C47295"/>
    <w:rsid w:val="00C475B9"/>
    <w:rsid w:val="00C478C2"/>
    <w:rsid w:val="00C519BE"/>
    <w:rsid w:val="00C51B9A"/>
    <w:rsid w:val="00C52004"/>
    <w:rsid w:val="00C52190"/>
    <w:rsid w:val="00C53186"/>
    <w:rsid w:val="00C53F18"/>
    <w:rsid w:val="00C5445F"/>
    <w:rsid w:val="00C54D5D"/>
    <w:rsid w:val="00C577B2"/>
    <w:rsid w:val="00C57ACA"/>
    <w:rsid w:val="00C61994"/>
    <w:rsid w:val="00C62603"/>
    <w:rsid w:val="00C62A66"/>
    <w:rsid w:val="00C64C18"/>
    <w:rsid w:val="00C65D57"/>
    <w:rsid w:val="00C65DD9"/>
    <w:rsid w:val="00C66C3D"/>
    <w:rsid w:val="00C72DE5"/>
    <w:rsid w:val="00C730AF"/>
    <w:rsid w:val="00C73A2D"/>
    <w:rsid w:val="00C73D88"/>
    <w:rsid w:val="00C7432E"/>
    <w:rsid w:val="00C74A06"/>
    <w:rsid w:val="00C76B7F"/>
    <w:rsid w:val="00C76D59"/>
    <w:rsid w:val="00C776E2"/>
    <w:rsid w:val="00C800C2"/>
    <w:rsid w:val="00C80996"/>
    <w:rsid w:val="00C81439"/>
    <w:rsid w:val="00C827A3"/>
    <w:rsid w:val="00C831BA"/>
    <w:rsid w:val="00C83612"/>
    <w:rsid w:val="00C841D5"/>
    <w:rsid w:val="00C85041"/>
    <w:rsid w:val="00C85208"/>
    <w:rsid w:val="00C8600A"/>
    <w:rsid w:val="00C90780"/>
    <w:rsid w:val="00C90FDF"/>
    <w:rsid w:val="00C93199"/>
    <w:rsid w:val="00C94127"/>
    <w:rsid w:val="00C97C64"/>
    <w:rsid w:val="00CA1691"/>
    <w:rsid w:val="00CA55C6"/>
    <w:rsid w:val="00CA62B6"/>
    <w:rsid w:val="00CA67C1"/>
    <w:rsid w:val="00CA6AA5"/>
    <w:rsid w:val="00CA708C"/>
    <w:rsid w:val="00CB0030"/>
    <w:rsid w:val="00CB069F"/>
    <w:rsid w:val="00CB25BB"/>
    <w:rsid w:val="00CB2750"/>
    <w:rsid w:val="00CB2F48"/>
    <w:rsid w:val="00CB4200"/>
    <w:rsid w:val="00CB62A5"/>
    <w:rsid w:val="00CC038F"/>
    <w:rsid w:val="00CC2516"/>
    <w:rsid w:val="00CC2777"/>
    <w:rsid w:val="00CC2DE2"/>
    <w:rsid w:val="00CC30D4"/>
    <w:rsid w:val="00CC425C"/>
    <w:rsid w:val="00CC5D85"/>
    <w:rsid w:val="00CC6174"/>
    <w:rsid w:val="00CC6CF0"/>
    <w:rsid w:val="00CD0BC2"/>
    <w:rsid w:val="00CD2862"/>
    <w:rsid w:val="00CD3533"/>
    <w:rsid w:val="00CD42C0"/>
    <w:rsid w:val="00CE1866"/>
    <w:rsid w:val="00CE3425"/>
    <w:rsid w:val="00CE45F6"/>
    <w:rsid w:val="00CE4AD4"/>
    <w:rsid w:val="00CE58B3"/>
    <w:rsid w:val="00CE5E28"/>
    <w:rsid w:val="00CE6309"/>
    <w:rsid w:val="00CE7351"/>
    <w:rsid w:val="00CE7DD3"/>
    <w:rsid w:val="00CF3750"/>
    <w:rsid w:val="00CF4093"/>
    <w:rsid w:val="00CF4BC2"/>
    <w:rsid w:val="00CF59DC"/>
    <w:rsid w:val="00CF5C51"/>
    <w:rsid w:val="00CF68B9"/>
    <w:rsid w:val="00CF6FA4"/>
    <w:rsid w:val="00CF7193"/>
    <w:rsid w:val="00CF76FD"/>
    <w:rsid w:val="00CF7C73"/>
    <w:rsid w:val="00D01BF1"/>
    <w:rsid w:val="00D02338"/>
    <w:rsid w:val="00D03589"/>
    <w:rsid w:val="00D06B5F"/>
    <w:rsid w:val="00D071BB"/>
    <w:rsid w:val="00D10B18"/>
    <w:rsid w:val="00D12636"/>
    <w:rsid w:val="00D13583"/>
    <w:rsid w:val="00D143A8"/>
    <w:rsid w:val="00D14AA6"/>
    <w:rsid w:val="00D14BB8"/>
    <w:rsid w:val="00D154B8"/>
    <w:rsid w:val="00D16662"/>
    <w:rsid w:val="00D169E4"/>
    <w:rsid w:val="00D21CFB"/>
    <w:rsid w:val="00D21DAC"/>
    <w:rsid w:val="00D2245B"/>
    <w:rsid w:val="00D233DA"/>
    <w:rsid w:val="00D23B00"/>
    <w:rsid w:val="00D271F3"/>
    <w:rsid w:val="00D276BB"/>
    <w:rsid w:val="00D30918"/>
    <w:rsid w:val="00D30E8B"/>
    <w:rsid w:val="00D31ECF"/>
    <w:rsid w:val="00D3220D"/>
    <w:rsid w:val="00D32F1D"/>
    <w:rsid w:val="00D426F1"/>
    <w:rsid w:val="00D43322"/>
    <w:rsid w:val="00D435FA"/>
    <w:rsid w:val="00D4408D"/>
    <w:rsid w:val="00D467A8"/>
    <w:rsid w:val="00D46B47"/>
    <w:rsid w:val="00D47B21"/>
    <w:rsid w:val="00D50050"/>
    <w:rsid w:val="00D50DF1"/>
    <w:rsid w:val="00D53580"/>
    <w:rsid w:val="00D5427E"/>
    <w:rsid w:val="00D550D4"/>
    <w:rsid w:val="00D5582F"/>
    <w:rsid w:val="00D563E5"/>
    <w:rsid w:val="00D569D4"/>
    <w:rsid w:val="00D570CC"/>
    <w:rsid w:val="00D634C3"/>
    <w:rsid w:val="00D64AFD"/>
    <w:rsid w:val="00D65247"/>
    <w:rsid w:val="00D65526"/>
    <w:rsid w:val="00D6573D"/>
    <w:rsid w:val="00D6720B"/>
    <w:rsid w:val="00D67D88"/>
    <w:rsid w:val="00D67F3E"/>
    <w:rsid w:val="00D70009"/>
    <w:rsid w:val="00D724D7"/>
    <w:rsid w:val="00D744BF"/>
    <w:rsid w:val="00D7451D"/>
    <w:rsid w:val="00D747BC"/>
    <w:rsid w:val="00D75446"/>
    <w:rsid w:val="00D80CD4"/>
    <w:rsid w:val="00D821F4"/>
    <w:rsid w:val="00D829A6"/>
    <w:rsid w:val="00D82D88"/>
    <w:rsid w:val="00D84648"/>
    <w:rsid w:val="00D8471F"/>
    <w:rsid w:val="00D855F5"/>
    <w:rsid w:val="00D8590F"/>
    <w:rsid w:val="00D85B13"/>
    <w:rsid w:val="00D86B29"/>
    <w:rsid w:val="00D90391"/>
    <w:rsid w:val="00D9201A"/>
    <w:rsid w:val="00D9272C"/>
    <w:rsid w:val="00D93989"/>
    <w:rsid w:val="00D950A2"/>
    <w:rsid w:val="00D960EE"/>
    <w:rsid w:val="00D9680E"/>
    <w:rsid w:val="00D96D46"/>
    <w:rsid w:val="00D97E62"/>
    <w:rsid w:val="00DA062A"/>
    <w:rsid w:val="00DA0D27"/>
    <w:rsid w:val="00DA39F6"/>
    <w:rsid w:val="00DA4B6E"/>
    <w:rsid w:val="00DA5851"/>
    <w:rsid w:val="00DA664B"/>
    <w:rsid w:val="00DB030F"/>
    <w:rsid w:val="00DB28C2"/>
    <w:rsid w:val="00DB2D5B"/>
    <w:rsid w:val="00DB2F2E"/>
    <w:rsid w:val="00DB3589"/>
    <w:rsid w:val="00DB5105"/>
    <w:rsid w:val="00DB5AD4"/>
    <w:rsid w:val="00DB754E"/>
    <w:rsid w:val="00DB7FA1"/>
    <w:rsid w:val="00DC0711"/>
    <w:rsid w:val="00DC0B5E"/>
    <w:rsid w:val="00DC0E4A"/>
    <w:rsid w:val="00DC2311"/>
    <w:rsid w:val="00DC2E3E"/>
    <w:rsid w:val="00DC699B"/>
    <w:rsid w:val="00DC6C4A"/>
    <w:rsid w:val="00DC74B7"/>
    <w:rsid w:val="00DC7E13"/>
    <w:rsid w:val="00DD1013"/>
    <w:rsid w:val="00DD4109"/>
    <w:rsid w:val="00DD4790"/>
    <w:rsid w:val="00DD4C89"/>
    <w:rsid w:val="00DD7BB6"/>
    <w:rsid w:val="00DE26E5"/>
    <w:rsid w:val="00DE3106"/>
    <w:rsid w:val="00DE4479"/>
    <w:rsid w:val="00DE4E9F"/>
    <w:rsid w:val="00DE5326"/>
    <w:rsid w:val="00DE6B5F"/>
    <w:rsid w:val="00DF0430"/>
    <w:rsid w:val="00DF0E14"/>
    <w:rsid w:val="00DF1EE9"/>
    <w:rsid w:val="00DF2387"/>
    <w:rsid w:val="00DF2AC0"/>
    <w:rsid w:val="00DF3A96"/>
    <w:rsid w:val="00DF4D8D"/>
    <w:rsid w:val="00DF5201"/>
    <w:rsid w:val="00DF651E"/>
    <w:rsid w:val="00E01ED7"/>
    <w:rsid w:val="00E0237E"/>
    <w:rsid w:val="00E04D33"/>
    <w:rsid w:val="00E061DC"/>
    <w:rsid w:val="00E06FC5"/>
    <w:rsid w:val="00E1035A"/>
    <w:rsid w:val="00E1047F"/>
    <w:rsid w:val="00E11D6C"/>
    <w:rsid w:val="00E11E9B"/>
    <w:rsid w:val="00E11F29"/>
    <w:rsid w:val="00E12B33"/>
    <w:rsid w:val="00E12D80"/>
    <w:rsid w:val="00E12F67"/>
    <w:rsid w:val="00E1311E"/>
    <w:rsid w:val="00E13349"/>
    <w:rsid w:val="00E14536"/>
    <w:rsid w:val="00E14CB7"/>
    <w:rsid w:val="00E1500C"/>
    <w:rsid w:val="00E15764"/>
    <w:rsid w:val="00E1650C"/>
    <w:rsid w:val="00E17D6A"/>
    <w:rsid w:val="00E17E8C"/>
    <w:rsid w:val="00E2016E"/>
    <w:rsid w:val="00E206B3"/>
    <w:rsid w:val="00E24EEB"/>
    <w:rsid w:val="00E3052A"/>
    <w:rsid w:val="00E3165D"/>
    <w:rsid w:val="00E31BA0"/>
    <w:rsid w:val="00E31EA5"/>
    <w:rsid w:val="00E32230"/>
    <w:rsid w:val="00E322A9"/>
    <w:rsid w:val="00E32B15"/>
    <w:rsid w:val="00E33A14"/>
    <w:rsid w:val="00E34C25"/>
    <w:rsid w:val="00E34E22"/>
    <w:rsid w:val="00E35760"/>
    <w:rsid w:val="00E3648A"/>
    <w:rsid w:val="00E375C8"/>
    <w:rsid w:val="00E4156B"/>
    <w:rsid w:val="00E433BB"/>
    <w:rsid w:val="00E436F2"/>
    <w:rsid w:val="00E45AE4"/>
    <w:rsid w:val="00E47A03"/>
    <w:rsid w:val="00E5057D"/>
    <w:rsid w:val="00E50FB2"/>
    <w:rsid w:val="00E53527"/>
    <w:rsid w:val="00E538C9"/>
    <w:rsid w:val="00E54FBE"/>
    <w:rsid w:val="00E55975"/>
    <w:rsid w:val="00E57441"/>
    <w:rsid w:val="00E615C2"/>
    <w:rsid w:val="00E61F6C"/>
    <w:rsid w:val="00E62296"/>
    <w:rsid w:val="00E62579"/>
    <w:rsid w:val="00E62D3E"/>
    <w:rsid w:val="00E6348E"/>
    <w:rsid w:val="00E63725"/>
    <w:rsid w:val="00E63FA0"/>
    <w:rsid w:val="00E644AF"/>
    <w:rsid w:val="00E646E6"/>
    <w:rsid w:val="00E648CA"/>
    <w:rsid w:val="00E655AC"/>
    <w:rsid w:val="00E66A18"/>
    <w:rsid w:val="00E717B7"/>
    <w:rsid w:val="00E725CD"/>
    <w:rsid w:val="00E72D56"/>
    <w:rsid w:val="00E73366"/>
    <w:rsid w:val="00E7342F"/>
    <w:rsid w:val="00E734F9"/>
    <w:rsid w:val="00E7368A"/>
    <w:rsid w:val="00E74532"/>
    <w:rsid w:val="00E74944"/>
    <w:rsid w:val="00E74D83"/>
    <w:rsid w:val="00E76572"/>
    <w:rsid w:val="00E7713D"/>
    <w:rsid w:val="00E807D0"/>
    <w:rsid w:val="00E81DA4"/>
    <w:rsid w:val="00E82206"/>
    <w:rsid w:val="00E824A4"/>
    <w:rsid w:val="00E83224"/>
    <w:rsid w:val="00E84471"/>
    <w:rsid w:val="00E846AC"/>
    <w:rsid w:val="00E849BC"/>
    <w:rsid w:val="00E90447"/>
    <w:rsid w:val="00E91352"/>
    <w:rsid w:val="00E917D1"/>
    <w:rsid w:val="00E91FF9"/>
    <w:rsid w:val="00E9239B"/>
    <w:rsid w:val="00E925ED"/>
    <w:rsid w:val="00E933A6"/>
    <w:rsid w:val="00E945C9"/>
    <w:rsid w:val="00E97248"/>
    <w:rsid w:val="00E9768B"/>
    <w:rsid w:val="00EA1157"/>
    <w:rsid w:val="00EA3C73"/>
    <w:rsid w:val="00EA4595"/>
    <w:rsid w:val="00EA4A0B"/>
    <w:rsid w:val="00EA4E68"/>
    <w:rsid w:val="00EA5556"/>
    <w:rsid w:val="00EA6F66"/>
    <w:rsid w:val="00EB0C87"/>
    <w:rsid w:val="00EB152E"/>
    <w:rsid w:val="00EB35AE"/>
    <w:rsid w:val="00EB3744"/>
    <w:rsid w:val="00EB575B"/>
    <w:rsid w:val="00EB71DC"/>
    <w:rsid w:val="00EB77FE"/>
    <w:rsid w:val="00EC0DBD"/>
    <w:rsid w:val="00EC5E42"/>
    <w:rsid w:val="00EC64A0"/>
    <w:rsid w:val="00EC6552"/>
    <w:rsid w:val="00ED1741"/>
    <w:rsid w:val="00ED2DB0"/>
    <w:rsid w:val="00ED3831"/>
    <w:rsid w:val="00ED3C9E"/>
    <w:rsid w:val="00ED4761"/>
    <w:rsid w:val="00ED4EBE"/>
    <w:rsid w:val="00ED5B8A"/>
    <w:rsid w:val="00ED7585"/>
    <w:rsid w:val="00EE0896"/>
    <w:rsid w:val="00EE0D34"/>
    <w:rsid w:val="00EE18C2"/>
    <w:rsid w:val="00EE2CE7"/>
    <w:rsid w:val="00EE3AA3"/>
    <w:rsid w:val="00EE40D7"/>
    <w:rsid w:val="00EE5D8B"/>
    <w:rsid w:val="00EE5EAA"/>
    <w:rsid w:val="00EE63AE"/>
    <w:rsid w:val="00EE760C"/>
    <w:rsid w:val="00EF0536"/>
    <w:rsid w:val="00EF1456"/>
    <w:rsid w:val="00EF3E79"/>
    <w:rsid w:val="00EF41B9"/>
    <w:rsid w:val="00EF5BA0"/>
    <w:rsid w:val="00EF5DC7"/>
    <w:rsid w:val="00EF5F92"/>
    <w:rsid w:val="00EF6DF1"/>
    <w:rsid w:val="00F010D4"/>
    <w:rsid w:val="00F016A6"/>
    <w:rsid w:val="00F0238B"/>
    <w:rsid w:val="00F02697"/>
    <w:rsid w:val="00F029E8"/>
    <w:rsid w:val="00F02C69"/>
    <w:rsid w:val="00F03AE4"/>
    <w:rsid w:val="00F04411"/>
    <w:rsid w:val="00F04AFB"/>
    <w:rsid w:val="00F06194"/>
    <w:rsid w:val="00F0776D"/>
    <w:rsid w:val="00F07953"/>
    <w:rsid w:val="00F07D2A"/>
    <w:rsid w:val="00F10EBD"/>
    <w:rsid w:val="00F12EA8"/>
    <w:rsid w:val="00F14A3C"/>
    <w:rsid w:val="00F159BD"/>
    <w:rsid w:val="00F159E1"/>
    <w:rsid w:val="00F172FC"/>
    <w:rsid w:val="00F1794E"/>
    <w:rsid w:val="00F17B39"/>
    <w:rsid w:val="00F20392"/>
    <w:rsid w:val="00F20D64"/>
    <w:rsid w:val="00F210A4"/>
    <w:rsid w:val="00F21B65"/>
    <w:rsid w:val="00F2431F"/>
    <w:rsid w:val="00F24ED5"/>
    <w:rsid w:val="00F253C8"/>
    <w:rsid w:val="00F2547C"/>
    <w:rsid w:val="00F25FA7"/>
    <w:rsid w:val="00F261B8"/>
    <w:rsid w:val="00F26E83"/>
    <w:rsid w:val="00F31E2A"/>
    <w:rsid w:val="00F3206D"/>
    <w:rsid w:val="00F320C4"/>
    <w:rsid w:val="00F32505"/>
    <w:rsid w:val="00F32953"/>
    <w:rsid w:val="00F338BB"/>
    <w:rsid w:val="00F33C24"/>
    <w:rsid w:val="00F34893"/>
    <w:rsid w:val="00F35077"/>
    <w:rsid w:val="00F35841"/>
    <w:rsid w:val="00F3764C"/>
    <w:rsid w:val="00F41F64"/>
    <w:rsid w:val="00F42076"/>
    <w:rsid w:val="00F44129"/>
    <w:rsid w:val="00F451F1"/>
    <w:rsid w:val="00F46126"/>
    <w:rsid w:val="00F46334"/>
    <w:rsid w:val="00F4640C"/>
    <w:rsid w:val="00F46585"/>
    <w:rsid w:val="00F47145"/>
    <w:rsid w:val="00F47C89"/>
    <w:rsid w:val="00F47E8D"/>
    <w:rsid w:val="00F50750"/>
    <w:rsid w:val="00F50964"/>
    <w:rsid w:val="00F523D8"/>
    <w:rsid w:val="00F52C41"/>
    <w:rsid w:val="00F52D5C"/>
    <w:rsid w:val="00F52F55"/>
    <w:rsid w:val="00F5677B"/>
    <w:rsid w:val="00F60E95"/>
    <w:rsid w:val="00F619F1"/>
    <w:rsid w:val="00F62418"/>
    <w:rsid w:val="00F66170"/>
    <w:rsid w:val="00F66186"/>
    <w:rsid w:val="00F662EE"/>
    <w:rsid w:val="00F67640"/>
    <w:rsid w:val="00F67C51"/>
    <w:rsid w:val="00F71541"/>
    <w:rsid w:val="00F723D9"/>
    <w:rsid w:val="00F726BF"/>
    <w:rsid w:val="00F72A5F"/>
    <w:rsid w:val="00F72C27"/>
    <w:rsid w:val="00F73161"/>
    <w:rsid w:val="00F73CC0"/>
    <w:rsid w:val="00F7483E"/>
    <w:rsid w:val="00F7516F"/>
    <w:rsid w:val="00F75C2C"/>
    <w:rsid w:val="00F76599"/>
    <w:rsid w:val="00F801BD"/>
    <w:rsid w:val="00F811BB"/>
    <w:rsid w:val="00F817E3"/>
    <w:rsid w:val="00F81CF3"/>
    <w:rsid w:val="00F82795"/>
    <w:rsid w:val="00F83E31"/>
    <w:rsid w:val="00F853B2"/>
    <w:rsid w:val="00F85A54"/>
    <w:rsid w:val="00F85B37"/>
    <w:rsid w:val="00F87BDE"/>
    <w:rsid w:val="00F87D8C"/>
    <w:rsid w:val="00F9137D"/>
    <w:rsid w:val="00F9199F"/>
    <w:rsid w:val="00F925F2"/>
    <w:rsid w:val="00F94277"/>
    <w:rsid w:val="00F94623"/>
    <w:rsid w:val="00F9462C"/>
    <w:rsid w:val="00F94A3F"/>
    <w:rsid w:val="00F952C6"/>
    <w:rsid w:val="00F957E9"/>
    <w:rsid w:val="00F97315"/>
    <w:rsid w:val="00FA0B89"/>
    <w:rsid w:val="00FA30B2"/>
    <w:rsid w:val="00FA3580"/>
    <w:rsid w:val="00FA39F7"/>
    <w:rsid w:val="00FA6203"/>
    <w:rsid w:val="00FA6EA2"/>
    <w:rsid w:val="00FB128A"/>
    <w:rsid w:val="00FB1752"/>
    <w:rsid w:val="00FB1C2F"/>
    <w:rsid w:val="00FB1CAD"/>
    <w:rsid w:val="00FB39FC"/>
    <w:rsid w:val="00FB3DB5"/>
    <w:rsid w:val="00FB5AE1"/>
    <w:rsid w:val="00FB708A"/>
    <w:rsid w:val="00FC0BA8"/>
    <w:rsid w:val="00FC1328"/>
    <w:rsid w:val="00FC1DAD"/>
    <w:rsid w:val="00FC28C6"/>
    <w:rsid w:val="00FC30E9"/>
    <w:rsid w:val="00FC3131"/>
    <w:rsid w:val="00FC3B41"/>
    <w:rsid w:val="00FC51F0"/>
    <w:rsid w:val="00FC57A7"/>
    <w:rsid w:val="00FC5B41"/>
    <w:rsid w:val="00FC7B57"/>
    <w:rsid w:val="00FD0A29"/>
    <w:rsid w:val="00FD0A32"/>
    <w:rsid w:val="00FD0AFF"/>
    <w:rsid w:val="00FD1268"/>
    <w:rsid w:val="00FD24C1"/>
    <w:rsid w:val="00FD339F"/>
    <w:rsid w:val="00FD3C8D"/>
    <w:rsid w:val="00FD4017"/>
    <w:rsid w:val="00FD41A6"/>
    <w:rsid w:val="00FD4EB0"/>
    <w:rsid w:val="00FE05B3"/>
    <w:rsid w:val="00FE1651"/>
    <w:rsid w:val="00FE1F7C"/>
    <w:rsid w:val="00FE2420"/>
    <w:rsid w:val="00FE3159"/>
    <w:rsid w:val="00FE38A6"/>
    <w:rsid w:val="00FE774D"/>
    <w:rsid w:val="00FF038C"/>
    <w:rsid w:val="00FF1406"/>
    <w:rsid w:val="00FF2068"/>
    <w:rsid w:val="00FF2909"/>
    <w:rsid w:val="00FF4ABC"/>
    <w:rsid w:val="00FF4CB7"/>
    <w:rsid w:val="00FF64F2"/>
    <w:rsid w:val="00FF7D3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D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BE" w:eastAsia="fr-BE" w:bidi="fr-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247"/>
    <w:pPr>
      <w:spacing w:after="0" w:line="240" w:lineRule="auto"/>
      <w:jc w:val="both"/>
    </w:pPr>
    <w:rPr>
      <w:rFonts w:ascii="Cambria" w:hAnsi="Cambria" w:cs="Times New Roman"/>
    </w:rPr>
  </w:style>
  <w:style w:type="paragraph" w:styleId="berschrift1">
    <w:name w:val="heading 1"/>
    <w:aliases w:val="Part,1,l1,h1,Header 1,Legal Line 1,Heading A,Heading1,H1-Heading 1,head 1,list 1,heading 1,II+,I,H1,Head 1 (Chapter heading),Heading No. L1,niveau 1"/>
    <w:basedOn w:val="Standard"/>
    <w:next w:val="Standard"/>
    <w:link w:val="berschrift1Zchn"/>
    <w:qFormat/>
    <w:rsid w:val="009F7790"/>
    <w:pPr>
      <w:keepNext/>
      <w:pageBreakBefore/>
      <w:numPr>
        <w:numId w:val="10"/>
      </w:numPr>
      <w:spacing w:before="480" w:after="240" w:line="240" w:lineRule="atLeast"/>
      <w:outlineLvl w:val="0"/>
    </w:pPr>
    <w:rPr>
      <w:rFonts w:ascii="Calibri" w:hAnsi="Calibri"/>
      <w:b/>
      <w:bCs/>
      <w:caps/>
      <w:noProof/>
      <w:color w:val="365F91"/>
      <w:kern w:val="20"/>
      <w:position w:val="8"/>
      <w:sz w:val="28"/>
      <w:szCs w:val="28"/>
    </w:rPr>
  </w:style>
  <w:style w:type="paragraph" w:styleId="berschrift2">
    <w:name w:val="heading 2"/>
    <w:aliases w:val="Chapter Title,2,l2,Header2,header,Header1,Header11,Header111,Header1111,Header11111,Header111111,Header1111111,Header11111111,Header111111111,Header1111111111,Header11111111111,Header111111111111,Header1111111111111,Header11111111111111"/>
    <w:basedOn w:val="Standard"/>
    <w:next w:val="Standard"/>
    <w:link w:val="berschrift2Zchn"/>
    <w:qFormat/>
    <w:rsid w:val="00E1047F"/>
    <w:pPr>
      <w:keepNext/>
      <w:numPr>
        <w:ilvl w:val="1"/>
        <w:numId w:val="10"/>
      </w:numPr>
      <w:spacing w:before="360" w:after="120"/>
      <w:ind w:left="567" w:hanging="567"/>
      <w:outlineLvl w:val="1"/>
    </w:pPr>
    <w:rPr>
      <w:rFonts w:ascii="Calibri" w:hAnsi="Calibri"/>
      <w:b/>
      <w:bCs/>
      <w:smallCaps/>
      <w:color w:val="4F81BD"/>
      <w:kern w:val="24"/>
      <w:sz w:val="26"/>
    </w:rPr>
  </w:style>
  <w:style w:type="paragraph" w:styleId="berschrift3">
    <w:name w:val="heading 3"/>
    <w:aliases w:val="H3,h3,l3,3,Underrubrik2,h:3,orderpara2,H31,H32,H33,H34,H35,Title3,Map,3rd level,Heading 3 - old,Punt 3,Kop 3V,Header 3,niveau 3"/>
    <w:basedOn w:val="Standard"/>
    <w:next w:val="Standard"/>
    <w:link w:val="berschrift3Zchn"/>
    <w:qFormat/>
    <w:rsid w:val="002D7468"/>
    <w:pPr>
      <w:keepNext/>
      <w:numPr>
        <w:ilvl w:val="2"/>
        <w:numId w:val="2"/>
      </w:numPr>
      <w:spacing w:before="120" w:after="120"/>
      <w:ind w:left="720"/>
      <w:outlineLvl w:val="2"/>
    </w:pPr>
    <w:rPr>
      <w:rFonts w:ascii="Calibri" w:hAnsi="Calibri"/>
      <w:b/>
      <w:bCs/>
      <w:color w:val="7CA1CE"/>
      <w:spacing w:val="-10"/>
      <w:kern w:val="28"/>
      <w:sz w:val="24"/>
    </w:rPr>
  </w:style>
  <w:style w:type="paragraph" w:styleId="berschrift4">
    <w:name w:val="heading 4"/>
    <w:aliases w:val="h4,h4 Car,4,l4,heading4,heading,Header 4,Punt 4"/>
    <w:basedOn w:val="Standard"/>
    <w:next w:val="Standard"/>
    <w:link w:val="berschrift4Zchn"/>
    <w:qFormat/>
    <w:rsid w:val="009F7790"/>
    <w:pPr>
      <w:keepNext/>
      <w:numPr>
        <w:ilvl w:val="3"/>
        <w:numId w:val="10"/>
      </w:numPr>
      <w:tabs>
        <w:tab w:val="left" w:pos="851"/>
      </w:tabs>
      <w:spacing w:after="120"/>
      <w:outlineLvl w:val="3"/>
    </w:pPr>
    <w:rPr>
      <w:b/>
      <w:i/>
      <w:iCs/>
      <w:color w:val="7CA1CE"/>
    </w:rPr>
  </w:style>
  <w:style w:type="paragraph" w:styleId="berschrift5">
    <w:name w:val="heading 5"/>
    <w:aliases w:val="heading 5,Roman list,Header 5,Punt 5"/>
    <w:basedOn w:val="Standard"/>
    <w:next w:val="Standard"/>
    <w:link w:val="berschrift5Zchn"/>
    <w:qFormat/>
    <w:rsid w:val="009F7790"/>
    <w:pPr>
      <w:numPr>
        <w:ilvl w:val="4"/>
        <w:numId w:val="10"/>
      </w:numPr>
      <w:tabs>
        <w:tab w:val="right" w:pos="8505"/>
      </w:tabs>
      <w:snapToGrid w:val="0"/>
      <w:spacing w:before="240" w:after="60"/>
      <w:outlineLvl w:val="4"/>
    </w:pPr>
    <w:rPr>
      <w:b/>
      <w:bCs/>
    </w:rPr>
  </w:style>
  <w:style w:type="paragraph" w:styleId="berschrift6">
    <w:name w:val="heading 6"/>
    <w:basedOn w:val="Standard"/>
    <w:next w:val="Standard"/>
    <w:link w:val="berschrift6Zchn"/>
    <w:qFormat/>
    <w:rsid w:val="009F7790"/>
    <w:pPr>
      <w:numPr>
        <w:ilvl w:val="5"/>
        <w:numId w:val="10"/>
      </w:numPr>
      <w:spacing w:before="240" w:after="60"/>
      <w:outlineLvl w:val="5"/>
    </w:pPr>
    <w:rPr>
      <w:rFonts w:ascii="Calibri" w:hAnsi="Calibri"/>
      <w:b/>
      <w:bCs/>
    </w:rPr>
  </w:style>
  <w:style w:type="paragraph" w:styleId="berschrift7">
    <w:name w:val="heading 7"/>
    <w:basedOn w:val="Standard"/>
    <w:next w:val="Standard"/>
    <w:link w:val="berschrift7Zchn"/>
    <w:qFormat/>
    <w:rsid w:val="009F7790"/>
    <w:pPr>
      <w:numPr>
        <w:ilvl w:val="6"/>
        <w:numId w:val="10"/>
      </w:numPr>
      <w:spacing w:before="240" w:after="60"/>
      <w:outlineLvl w:val="6"/>
    </w:pPr>
    <w:rPr>
      <w:rFonts w:ascii="Calibri" w:hAnsi="Calibri"/>
      <w:sz w:val="24"/>
    </w:rPr>
  </w:style>
  <w:style w:type="paragraph" w:styleId="berschrift8">
    <w:name w:val="heading 8"/>
    <w:basedOn w:val="Standard"/>
    <w:next w:val="Standard"/>
    <w:link w:val="berschrift8Zchn"/>
    <w:qFormat/>
    <w:rsid w:val="009F7790"/>
    <w:pPr>
      <w:numPr>
        <w:ilvl w:val="7"/>
        <w:numId w:val="10"/>
      </w:numPr>
      <w:spacing w:before="240" w:after="60"/>
      <w:outlineLvl w:val="7"/>
    </w:pPr>
    <w:rPr>
      <w:rFonts w:ascii="Calibri" w:hAnsi="Calibri"/>
      <w:i/>
      <w:iCs/>
      <w:sz w:val="24"/>
    </w:rPr>
  </w:style>
  <w:style w:type="paragraph" w:styleId="berschrift9">
    <w:name w:val="heading 9"/>
    <w:basedOn w:val="Standard"/>
    <w:next w:val="Standard"/>
    <w:link w:val="berschrift9Zchn"/>
    <w:qFormat/>
    <w:rsid w:val="009F7790"/>
    <w:pPr>
      <w:numPr>
        <w:ilvl w:val="8"/>
        <w:numId w:val="10"/>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nnexe">
    <w:name w:val="Annexe"/>
    <w:rsid w:val="009F7790"/>
    <w:pPr>
      <w:numPr>
        <w:numId w:val="1"/>
      </w:numPr>
    </w:pPr>
  </w:style>
  <w:style w:type="character" w:customStyle="1" w:styleId="berschrift1Zchn">
    <w:name w:val="Überschrift 1 Zchn"/>
    <w:aliases w:val="Part Zchn,1 Zchn,l1 Zchn,h1 Zchn,Header 1 Zchn,Legal Line 1 Zchn,Heading A Zchn,Heading1 Zchn,H1-Heading 1 Zchn,head 1 Zchn,list 1 Zchn,heading 1 Zchn,II+ Zchn,I Zchn,H1 Zchn,Head 1 (Chapter heading) Zchn,Heading No. L1 Zchn"/>
    <w:basedOn w:val="Absatz-Standardschriftart"/>
    <w:link w:val="berschrift1"/>
    <w:rsid w:val="009F7790"/>
    <w:rPr>
      <w:rFonts w:ascii="Calibri" w:hAnsi="Calibri" w:cs="Times New Roman"/>
      <w:b/>
      <w:bCs/>
      <w:caps/>
      <w:noProof/>
      <w:color w:val="365F91"/>
      <w:kern w:val="20"/>
      <w:position w:val="8"/>
      <w:sz w:val="28"/>
      <w:szCs w:val="28"/>
      <w:lang w:val="fr-BE"/>
    </w:rPr>
  </w:style>
  <w:style w:type="paragraph" w:customStyle="1" w:styleId="Annexe1">
    <w:name w:val="Annexe 1"/>
    <w:basedOn w:val="berschrift1"/>
    <w:next w:val="Standard"/>
    <w:rsid w:val="009F7790"/>
    <w:pPr>
      <w:numPr>
        <w:numId w:val="3"/>
      </w:numPr>
      <w:tabs>
        <w:tab w:val="left" w:pos="1560"/>
      </w:tabs>
    </w:pPr>
  </w:style>
  <w:style w:type="character" w:customStyle="1" w:styleId="berschrift2Zchn">
    <w:name w:val="Überschrift 2 Zchn"/>
    <w:aliases w:val="Chapter Title Zchn,2 Zchn,l2 Zchn,Header2 Zchn,header Zchn,Header1 Zchn,Header11 Zchn,Header111 Zchn,Header1111 Zchn,Header11111 Zchn,Header111111 Zchn,Header1111111 Zchn,Header11111111 Zchn,Header111111111 Zchn,Header1111111111 Zchn"/>
    <w:basedOn w:val="Absatz-Standardschriftart"/>
    <w:link w:val="berschrift2"/>
    <w:rsid w:val="00E1047F"/>
    <w:rPr>
      <w:rFonts w:ascii="Calibri" w:hAnsi="Calibri" w:cs="Times New Roman"/>
      <w:b/>
      <w:bCs/>
      <w:smallCaps/>
      <w:color w:val="4F81BD"/>
      <w:kern w:val="24"/>
      <w:sz w:val="26"/>
    </w:rPr>
  </w:style>
  <w:style w:type="paragraph" w:customStyle="1" w:styleId="Annexe11">
    <w:name w:val="Annexe 1.1"/>
    <w:basedOn w:val="berschrift2"/>
    <w:next w:val="Standard"/>
    <w:rsid w:val="009F7790"/>
    <w:pPr>
      <w:numPr>
        <w:numId w:val="3"/>
      </w:numPr>
    </w:pPr>
  </w:style>
  <w:style w:type="character" w:customStyle="1" w:styleId="berschrift3Zchn">
    <w:name w:val="Überschrift 3 Zchn"/>
    <w:aliases w:val="H3 Zchn,h3 Zchn,l3 Zchn,3 Zchn,Underrubrik2 Zchn,h:3 Zchn,orderpara2 Zchn,H31 Zchn,H32 Zchn,H33 Zchn,H34 Zchn,H35 Zchn,Title3 Zchn,Map Zchn,3rd level Zchn,Heading 3 - old Zchn,Punt 3 Zchn,Kop 3V Zchn,Header 3 Zchn,niveau 3 Zchn"/>
    <w:basedOn w:val="Absatz-Standardschriftart"/>
    <w:link w:val="berschrift3"/>
    <w:rsid w:val="002D7468"/>
    <w:rPr>
      <w:rFonts w:ascii="Calibri" w:hAnsi="Calibri" w:cs="Times New Roman"/>
      <w:b/>
      <w:bCs/>
      <w:color w:val="7CA1CE"/>
      <w:spacing w:val="-10"/>
      <w:kern w:val="28"/>
      <w:sz w:val="24"/>
    </w:rPr>
  </w:style>
  <w:style w:type="paragraph" w:customStyle="1" w:styleId="Annexe111">
    <w:name w:val="Annexe 1.1.1"/>
    <w:basedOn w:val="berschrift3"/>
    <w:next w:val="Standard"/>
    <w:rsid w:val="009F7790"/>
    <w:pPr>
      <w:numPr>
        <w:numId w:val="3"/>
      </w:numPr>
    </w:pPr>
  </w:style>
  <w:style w:type="paragraph" w:customStyle="1" w:styleId="CitationItalic">
    <w:name w:val="Citation Italic"/>
    <w:basedOn w:val="Standard"/>
    <w:qFormat/>
    <w:locked/>
    <w:rsid w:val="009F7790"/>
    <w:pPr>
      <w:ind w:left="1134" w:right="662"/>
    </w:pPr>
    <w:rPr>
      <w:i/>
      <w:iCs/>
      <w:noProof/>
      <w:color w:val="404040"/>
    </w:rPr>
  </w:style>
  <w:style w:type="paragraph" w:customStyle="1" w:styleId="ArticledeLoi">
    <w:name w:val="Article de Loi"/>
    <w:basedOn w:val="CitationItalic"/>
    <w:rsid w:val="009F7790"/>
    <w:pPr>
      <w:ind w:left="2127" w:right="-46"/>
    </w:pPr>
  </w:style>
  <w:style w:type="paragraph" w:styleId="Sprechblasentext">
    <w:name w:val="Balloon Text"/>
    <w:basedOn w:val="Standard"/>
    <w:link w:val="SprechblasentextZchn"/>
    <w:semiHidden/>
    <w:rsid w:val="009F7790"/>
    <w:rPr>
      <w:sz w:val="16"/>
      <w:szCs w:val="16"/>
    </w:rPr>
  </w:style>
  <w:style w:type="character" w:customStyle="1" w:styleId="SprechblasentextZchn">
    <w:name w:val="Sprechblasentext Zchn"/>
    <w:basedOn w:val="Absatz-Standardschriftart"/>
    <w:link w:val="Sprechblasentext"/>
    <w:semiHidden/>
    <w:rsid w:val="009F7790"/>
    <w:rPr>
      <w:rFonts w:ascii="Cambria" w:eastAsia="Times New Roman" w:hAnsi="Cambria" w:cs="Times New Roman"/>
      <w:sz w:val="16"/>
      <w:szCs w:val="16"/>
      <w:lang w:val="fr-BE"/>
    </w:rPr>
  </w:style>
  <w:style w:type="paragraph" w:styleId="Beschriftung">
    <w:name w:val="caption"/>
    <w:aliases w:val="Bijschrift Char,Bijschrift Char1,Bijschrift Char Char"/>
    <w:basedOn w:val="Standard"/>
    <w:next w:val="Standard"/>
    <w:uiPriority w:val="35"/>
    <w:qFormat/>
    <w:rsid w:val="009F7790"/>
    <w:pPr>
      <w:jc w:val="center"/>
    </w:pPr>
    <w:rPr>
      <w:b/>
      <w:bCs/>
      <w:i/>
      <w:iCs/>
      <w:sz w:val="20"/>
      <w:szCs w:val="20"/>
    </w:rPr>
  </w:style>
  <w:style w:type="paragraph" w:customStyle="1" w:styleId="NumbParag">
    <w:name w:val="Numb. Parag."/>
    <w:basedOn w:val="Standard"/>
    <w:link w:val="NumbParagChar"/>
    <w:qFormat/>
    <w:locked/>
    <w:rsid w:val="00300B59"/>
    <w:pPr>
      <w:keepLines/>
      <w:numPr>
        <w:numId w:val="12"/>
      </w:numPr>
      <w:spacing w:after="360" w:line="281" w:lineRule="auto"/>
      <w:ind w:left="426" w:hanging="426"/>
    </w:pPr>
    <w:rPr>
      <w:noProof/>
    </w:rPr>
  </w:style>
  <w:style w:type="paragraph" w:customStyle="1" w:styleId="BulletType1">
    <w:name w:val="Bullet Type 1"/>
    <w:basedOn w:val="NumbParag"/>
    <w:qFormat/>
    <w:locked/>
    <w:rsid w:val="009F7790"/>
    <w:pPr>
      <w:numPr>
        <w:ilvl w:val="1"/>
        <w:numId w:val="4"/>
      </w:numPr>
      <w:tabs>
        <w:tab w:val="left" w:pos="567"/>
      </w:tabs>
      <w:contextualSpacing/>
    </w:pPr>
  </w:style>
  <w:style w:type="paragraph" w:customStyle="1" w:styleId="BulleIndentType1">
    <w:name w:val="Bulle Indent Type 1"/>
    <w:basedOn w:val="BulletType1"/>
    <w:rsid w:val="009F7790"/>
    <w:pPr>
      <w:numPr>
        <w:ilvl w:val="2"/>
      </w:numPr>
      <w:tabs>
        <w:tab w:val="clear" w:pos="567"/>
        <w:tab w:val="left" w:pos="2410"/>
      </w:tabs>
    </w:pPr>
  </w:style>
  <w:style w:type="paragraph" w:customStyle="1" w:styleId="BulletNum1">
    <w:name w:val="Bullet Num.1"/>
    <w:basedOn w:val="Standard"/>
    <w:qFormat/>
    <w:rsid w:val="009F7790"/>
    <w:pPr>
      <w:numPr>
        <w:numId w:val="5"/>
      </w:numPr>
      <w:tabs>
        <w:tab w:val="left" w:pos="1418"/>
      </w:tabs>
      <w:contextualSpacing/>
    </w:pPr>
  </w:style>
  <w:style w:type="paragraph" w:customStyle="1" w:styleId="BulletNum2">
    <w:name w:val="Bullet Num.2"/>
    <w:basedOn w:val="BulletNum1"/>
    <w:rsid w:val="009F7790"/>
    <w:pPr>
      <w:numPr>
        <w:numId w:val="6"/>
      </w:numPr>
    </w:pPr>
  </w:style>
  <w:style w:type="paragraph" w:customStyle="1" w:styleId="BulletType1NS">
    <w:name w:val="Bullet Type 1 NS"/>
    <w:basedOn w:val="BulletType1"/>
    <w:rsid w:val="009F7790"/>
    <w:pPr>
      <w:numPr>
        <w:ilvl w:val="0"/>
        <w:numId w:val="0"/>
      </w:numPr>
    </w:pPr>
  </w:style>
  <w:style w:type="paragraph" w:customStyle="1" w:styleId="BulletType2">
    <w:name w:val="Bullet Type 2"/>
    <w:basedOn w:val="BulletType1"/>
    <w:locked/>
    <w:rsid w:val="009F7790"/>
    <w:pPr>
      <w:numPr>
        <w:ilvl w:val="0"/>
        <w:numId w:val="7"/>
      </w:numPr>
    </w:pPr>
  </w:style>
  <w:style w:type="paragraph" w:customStyle="1" w:styleId="BulletTypeEspaceInter">
    <w:name w:val="Bullet Type Espace Inter"/>
    <w:basedOn w:val="BulletType1"/>
    <w:qFormat/>
    <w:rsid w:val="009F7790"/>
    <w:pPr>
      <w:numPr>
        <w:ilvl w:val="0"/>
        <w:numId w:val="0"/>
      </w:numPr>
      <w:contextualSpacing w:val="0"/>
    </w:pPr>
  </w:style>
  <w:style w:type="character" w:customStyle="1" w:styleId="Char">
    <w:name w:val="Char"/>
    <w:semiHidden/>
    <w:rsid w:val="009F7790"/>
    <w:rPr>
      <w:rFonts w:ascii="Times New Roman" w:hAnsi="Times New Roman" w:cs="Times New Roman"/>
      <w:sz w:val="21"/>
      <w:szCs w:val="21"/>
    </w:rPr>
  </w:style>
  <w:style w:type="character" w:customStyle="1" w:styleId="Char1">
    <w:name w:val="Char1"/>
    <w:semiHidden/>
    <w:rsid w:val="009F7790"/>
    <w:rPr>
      <w:rFonts w:ascii="Times New Roman" w:eastAsia="Times New Roman" w:hAnsi="Times New Roman" w:cs="Times New Roman"/>
      <w:sz w:val="16"/>
      <w:szCs w:val="16"/>
    </w:rPr>
  </w:style>
  <w:style w:type="character" w:customStyle="1" w:styleId="Char2">
    <w:name w:val="Char2"/>
    <w:semiHidden/>
    <w:rsid w:val="009F7790"/>
    <w:rPr>
      <w:rFonts w:ascii="Times New Roman" w:eastAsia="Times New Roman" w:hAnsi="Times New Roman" w:cs="Times New Roman"/>
      <w:sz w:val="16"/>
      <w:szCs w:val="16"/>
    </w:rPr>
  </w:style>
  <w:style w:type="character" w:customStyle="1" w:styleId="Char3">
    <w:name w:val="Char3"/>
    <w:semiHidden/>
    <w:rsid w:val="009F7790"/>
    <w:rPr>
      <w:rFonts w:ascii="Times New Roman" w:eastAsia="Times New Roman" w:hAnsi="Times New Roman" w:cs="Times New Roman"/>
      <w:sz w:val="20"/>
      <w:szCs w:val="20"/>
    </w:rPr>
  </w:style>
  <w:style w:type="character" w:customStyle="1" w:styleId="Char4">
    <w:name w:val="Char4"/>
    <w:semiHidden/>
    <w:rsid w:val="009F7790"/>
    <w:rPr>
      <w:rFonts w:ascii="Times New Roman" w:eastAsia="Times New Roman" w:hAnsi="Times New Roman" w:cs="Times New Roman"/>
      <w:sz w:val="24"/>
      <w:szCs w:val="24"/>
    </w:rPr>
  </w:style>
  <w:style w:type="character" w:customStyle="1" w:styleId="Char5">
    <w:name w:val="Char5"/>
    <w:semiHidden/>
    <w:rsid w:val="009F7790"/>
    <w:rPr>
      <w:rFonts w:eastAsia="Times New Roman"/>
      <w:sz w:val="20"/>
      <w:szCs w:val="20"/>
      <w:lang w:val="fr-BE"/>
    </w:rPr>
  </w:style>
  <w:style w:type="character" w:customStyle="1" w:styleId="Char6">
    <w:name w:val="Char6"/>
    <w:semiHidden/>
    <w:rsid w:val="009F7790"/>
    <w:rPr>
      <w:rFonts w:eastAsia="Times New Roman"/>
      <w:b/>
      <w:bCs/>
      <w:sz w:val="20"/>
      <w:szCs w:val="20"/>
      <w:lang w:val="fr-BE"/>
    </w:rPr>
  </w:style>
  <w:style w:type="character" w:customStyle="1" w:styleId="Char7">
    <w:name w:val="Char7"/>
    <w:semiHidden/>
    <w:rsid w:val="009F7790"/>
    <w:rPr>
      <w:rFonts w:ascii="Times New Roman" w:eastAsia="Times New Roman" w:hAnsi="Times New Roman" w:cs="Times New Roman"/>
      <w:b/>
      <w:bCs/>
      <w:sz w:val="18"/>
      <w:szCs w:val="18"/>
      <w:lang w:val="fr-BE"/>
    </w:rPr>
  </w:style>
  <w:style w:type="paragraph" w:customStyle="1" w:styleId="Default">
    <w:name w:val="Default"/>
    <w:rsid w:val="009F7790"/>
    <w:pPr>
      <w:autoSpaceDE w:val="0"/>
      <w:autoSpaceDN w:val="0"/>
      <w:adjustRightInd w:val="0"/>
      <w:spacing w:after="0" w:line="240" w:lineRule="auto"/>
    </w:pPr>
    <w:rPr>
      <w:rFonts w:ascii="Times New Roman" w:hAnsi="Times New Roman" w:cs="Times New Roman"/>
      <w:color w:val="000000"/>
      <w:sz w:val="24"/>
      <w:szCs w:val="24"/>
    </w:rPr>
  </w:style>
  <w:style w:type="paragraph" w:styleId="Dokumentstruktur">
    <w:name w:val="Document Map"/>
    <w:basedOn w:val="Standard"/>
    <w:link w:val="DokumentstrukturZchn"/>
    <w:semiHidden/>
    <w:rsid w:val="009F7790"/>
    <w:rPr>
      <w:sz w:val="16"/>
      <w:szCs w:val="16"/>
    </w:rPr>
  </w:style>
  <w:style w:type="character" w:customStyle="1" w:styleId="DokumentstrukturZchn">
    <w:name w:val="Dokumentstruktur Zchn"/>
    <w:basedOn w:val="Absatz-Standardschriftart"/>
    <w:link w:val="Dokumentstruktur"/>
    <w:semiHidden/>
    <w:rsid w:val="009F7790"/>
    <w:rPr>
      <w:rFonts w:ascii="Cambria" w:eastAsia="Times New Roman" w:hAnsi="Cambria" w:cs="Times New Roman"/>
      <w:sz w:val="16"/>
      <w:szCs w:val="16"/>
      <w:lang w:val="fr-BE"/>
    </w:rPr>
  </w:style>
  <w:style w:type="numbering" w:customStyle="1" w:styleId="ExecutiveSummary">
    <w:name w:val="Executive Summary"/>
    <w:uiPriority w:val="99"/>
    <w:rsid w:val="009F7790"/>
    <w:pPr>
      <w:numPr>
        <w:numId w:val="8"/>
      </w:numPr>
    </w:pPr>
  </w:style>
  <w:style w:type="paragraph" w:customStyle="1" w:styleId="ExecutiveSummary1">
    <w:name w:val="Executive Summary 1"/>
    <w:basedOn w:val="berschrift1"/>
    <w:next w:val="NumbParag"/>
    <w:rsid w:val="009F7790"/>
    <w:pPr>
      <w:numPr>
        <w:numId w:val="0"/>
      </w:numPr>
    </w:pPr>
  </w:style>
  <w:style w:type="paragraph" w:customStyle="1" w:styleId="ExecutiveSummary11">
    <w:name w:val="Executive Summary 1.1"/>
    <w:basedOn w:val="berschrift2"/>
    <w:next w:val="NumbParag"/>
    <w:rsid w:val="009F7790"/>
    <w:pPr>
      <w:numPr>
        <w:numId w:val="9"/>
      </w:numPr>
    </w:pPr>
  </w:style>
  <w:style w:type="paragraph" w:customStyle="1" w:styleId="ExecutiveSummary111">
    <w:name w:val="Executive Summary 1.1.1"/>
    <w:basedOn w:val="berschrift3"/>
    <w:next w:val="NumbParag"/>
    <w:rsid w:val="009F7790"/>
    <w:pPr>
      <w:numPr>
        <w:numId w:val="9"/>
      </w:numPr>
    </w:pPr>
  </w:style>
  <w:style w:type="paragraph" w:customStyle="1" w:styleId="Figure">
    <w:name w:val="Figure"/>
    <w:basedOn w:val="Standard"/>
    <w:next w:val="Beschriftung"/>
    <w:qFormat/>
    <w:rsid w:val="009F7790"/>
    <w:pPr>
      <w:keepNext/>
      <w:ind w:left="-851" w:right="-897"/>
      <w:jc w:val="center"/>
    </w:pPr>
    <w:rPr>
      <w:noProof/>
    </w:rPr>
  </w:style>
  <w:style w:type="paragraph" w:customStyle="1" w:styleId="FigureIndent">
    <w:name w:val="Figure Indent"/>
    <w:basedOn w:val="Figure"/>
    <w:next w:val="Standard"/>
    <w:rsid w:val="009F7790"/>
    <w:pPr>
      <w:ind w:left="567" w:right="-46"/>
    </w:pPr>
  </w:style>
  <w:style w:type="character" w:customStyle="1" w:styleId="fnChar">
    <w:name w:val="fn Char"/>
    <w:aliases w:val="Footnotes Char,Footnote ak Char,ALTS FOOTNOTE Char,Footnote Text Char Char,footnote text Char"/>
    <w:semiHidden/>
    <w:rsid w:val="009F7790"/>
    <w:rPr>
      <w:rFonts w:ascii="Times New Roman" w:eastAsia="Times New Roman" w:hAnsi="Times New Roman" w:cs="Times New Roman"/>
      <w:sz w:val="20"/>
      <w:szCs w:val="20"/>
    </w:rPr>
  </w:style>
  <w:style w:type="character" w:styleId="BesuchterHyperlink">
    <w:name w:val="FollowedHyperlink"/>
    <w:semiHidden/>
    <w:rsid w:val="009F7790"/>
    <w:rPr>
      <w:color w:val="800080"/>
      <w:u w:val="single"/>
    </w:rPr>
  </w:style>
  <w:style w:type="table" w:customStyle="1" w:styleId="Grilleclaire-Accent11">
    <w:name w:val="Grille claire - Accent 11"/>
    <w:locked/>
    <w:rsid w:val="009F7790"/>
    <w:pPr>
      <w:spacing w:after="0" w:line="240" w:lineRule="auto"/>
    </w:pPr>
    <w:rPr>
      <w:rFonts w:ascii="Times New Roma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HeadPage-TitleMain">
    <w:name w:val="Head Page - Title Main"/>
    <w:basedOn w:val="Standard"/>
    <w:locked/>
    <w:rsid w:val="009F7790"/>
    <w:pPr>
      <w:ind w:left="1418" w:right="1371"/>
      <w:jc w:val="center"/>
    </w:pPr>
    <w:rPr>
      <w:b/>
      <w:bCs/>
      <w:caps/>
      <w:sz w:val="28"/>
      <w:szCs w:val="28"/>
    </w:rPr>
  </w:style>
  <w:style w:type="paragraph" w:customStyle="1" w:styleId="HeadPage-TitleUp">
    <w:name w:val="Head Page - Title Up"/>
    <w:basedOn w:val="Standard"/>
    <w:semiHidden/>
    <w:rsid w:val="009F7790"/>
    <w:pPr>
      <w:spacing w:after="240" w:line="360" w:lineRule="exact"/>
      <w:jc w:val="center"/>
    </w:pPr>
    <w:rPr>
      <w:b/>
      <w:bCs/>
      <w:sz w:val="28"/>
      <w:szCs w:val="28"/>
    </w:rPr>
  </w:style>
  <w:style w:type="character" w:styleId="Hyperlink">
    <w:name w:val="Hyperlink"/>
    <w:uiPriority w:val="99"/>
    <w:rsid w:val="009F7790"/>
    <w:rPr>
      <w:color w:val="0000FF"/>
      <w:u w:val="single"/>
    </w:rPr>
  </w:style>
  <w:style w:type="paragraph" w:styleId="Verzeichnis1">
    <w:name w:val="toc 1"/>
    <w:basedOn w:val="Standard"/>
    <w:next w:val="Standard"/>
    <w:uiPriority w:val="39"/>
    <w:rsid w:val="009F7790"/>
    <w:pPr>
      <w:tabs>
        <w:tab w:val="left" w:pos="567"/>
        <w:tab w:val="right" w:leader="dot" w:pos="9061"/>
      </w:tabs>
      <w:spacing w:before="120" w:after="120"/>
    </w:pPr>
    <w:rPr>
      <w:b/>
      <w:bCs/>
      <w:caps/>
      <w:noProof/>
      <w:sz w:val="20"/>
      <w:szCs w:val="20"/>
    </w:rPr>
  </w:style>
  <w:style w:type="paragraph" w:styleId="Verzeichnis2">
    <w:name w:val="toc 2"/>
    <w:basedOn w:val="Standard"/>
    <w:next w:val="Standard"/>
    <w:uiPriority w:val="39"/>
    <w:rsid w:val="009F7790"/>
    <w:pPr>
      <w:tabs>
        <w:tab w:val="left" w:pos="567"/>
        <w:tab w:val="right" w:leader="dot" w:pos="9061"/>
      </w:tabs>
    </w:pPr>
    <w:rPr>
      <w:smallCaps/>
      <w:noProof/>
      <w:sz w:val="20"/>
      <w:szCs w:val="20"/>
    </w:rPr>
  </w:style>
  <w:style w:type="paragraph" w:styleId="Verzeichnis3">
    <w:name w:val="toc 3"/>
    <w:basedOn w:val="Standard"/>
    <w:next w:val="Standard"/>
    <w:uiPriority w:val="39"/>
    <w:rsid w:val="009F7790"/>
    <w:pPr>
      <w:tabs>
        <w:tab w:val="left" w:pos="1276"/>
        <w:tab w:val="right" w:leader="dot" w:pos="9061"/>
      </w:tabs>
      <w:spacing w:after="120"/>
      <w:ind w:left="567"/>
      <w:contextualSpacing/>
    </w:pPr>
    <w:rPr>
      <w:i/>
      <w:iCs/>
      <w:noProof/>
      <w:sz w:val="20"/>
      <w:szCs w:val="20"/>
    </w:rPr>
  </w:style>
  <w:style w:type="paragraph" w:styleId="Verzeichnis4">
    <w:name w:val="toc 4"/>
    <w:basedOn w:val="Standard"/>
    <w:next w:val="Standard"/>
    <w:semiHidden/>
    <w:rsid w:val="009F7790"/>
    <w:pPr>
      <w:tabs>
        <w:tab w:val="left" w:pos="1680"/>
        <w:tab w:val="right" w:leader="dot" w:pos="9061"/>
      </w:tabs>
      <w:ind w:left="851"/>
    </w:pPr>
    <w:rPr>
      <w:noProof/>
      <w:sz w:val="18"/>
      <w:szCs w:val="18"/>
    </w:rPr>
  </w:style>
  <w:style w:type="character" w:customStyle="1" w:styleId="berschrift4Zchn">
    <w:name w:val="Überschrift 4 Zchn"/>
    <w:aliases w:val="h4 Zchn,h4 Car Zchn,4 Zchn,l4 Zchn,heading4 Zchn,heading Zchn,Header 4 Zchn,Punt 4 Zchn"/>
    <w:basedOn w:val="Absatz-Standardschriftart"/>
    <w:link w:val="berschrift4"/>
    <w:rsid w:val="009F7790"/>
    <w:rPr>
      <w:rFonts w:ascii="Cambria" w:hAnsi="Cambria" w:cs="Times New Roman"/>
      <w:b/>
      <w:i/>
      <w:iCs/>
      <w:color w:val="7CA1CE"/>
      <w:lang w:val="fr-BE"/>
    </w:rPr>
  </w:style>
  <w:style w:type="character" w:customStyle="1" w:styleId="berschrift5Zchn">
    <w:name w:val="Überschrift 5 Zchn"/>
    <w:aliases w:val="heading 5 Zchn,Roman list Zchn,Header 5 Zchn,Punt 5 Zchn"/>
    <w:basedOn w:val="Absatz-Standardschriftart"/>
    <w:link w:val="berschrift5"/>
    <w:rsid w:val="009F7790"/>
    <w:rPr>
      <w:rFonts w:ascii="Cambria" w:hAnsi="Cambria" w:cs="Times New Roman"/>
      <w:b/>
      <w:bCs/>
    </w:rPr>
  </w:style>
  <w:style w:type="character" w:customStyle="1" w:styleId="berschrift6Zchn">
    <w:name w:val="Überschrift 6 Zchn"/>
    <w:basedOn w:val="Absatz-Standardschriftart"/>
    <w:link w:val="berschrift6"/>
    <w:rsid w:val="009F7790"/>
    <w:rPr>
      <w:rFonts w:ascii="Calibri" w:hAnsi="Calibri" w:cs="Times New Roman"/>
      <w:b/>
      <w:bCs/>
      <w:lang w:val="fr-BE"/>
    </w:rPr>
  </w:style>
  <w:style w:type="character" w:customStyle="1" w:styleId="berschrift7Zchn">
    <w:name w:val="Überschrift 7 Zchn"/>
    <w:basedOn w:val="Absatz-Standardschriftart"/>
    <w:link w:val="berschrift7"/>
    <w:rsid w:val="009F7790"/>
    <w:rPr>
      <w:rFonts w:ascii="Calibri" w:hAnsi="Calibri" w:cs="Times New Roman"/>
      <w:sz w:val="24"/>
      <w:lang w:val="fr-BE"/>
    </w:rPr>
  </w:style>
  <w:style w:type="character" w:customStyle="1" w:styleId="berschrift8Zchn">
    <w:name w:val="Überschrift 8 Zchn"/>
    <w:basedOn w:val="Absatz-Standardschriftart"/>
    <w:link w:val="berschrift8"/>
    <w:rsid w:val="009F7790"/>
    <w:rPr>
      <w:rFonts w:ascii="Calibri" w:hAnsi="Calibri" w:cs="Times New Roman"/>
      <w:i/>
      <w:iCs/>
      <w:sz w:val="24"/>
      <w:lang w:val="fr-BE"/>
    </w:rPr>
  </w:style>
  <w:style w:type="character" w:customStyle="1" w:styleId="berschrift9Zchn">
    <w:name w:val="Überschrift 9 Zchn"/>
    <w:basedOn w:val="Absatz-Standardschriftart"/>
    <w:link w:val="berschrift9"/>
    <w:rsid w:val="009F7790"/>
    <w:rPr>
      <w:rFonts w:ascii="Cambria" w:hAnsi="Cambria" w:cs="Times New Roman"/>
      <w:lang w:val="fr-BE"/>
    </w:rPr>
  </w:style>
  <w:style w:type="paragraph" w:styleId="Kopfzeile">
    <w:name w:val="header"/>
    <w:basedOn w:val="Standard"/>
    <w:link w:val="KopfzeileZchn"/>
    <w:semiHidden/>
    <w:rsid w:val="009F7790"/>
    <w:pPr>
      <w:tabs>
        <w:tab w:val="center" w:pos="4536"/>
        <w:tab w:val="right" w:pos="9072"/>
      </w:tabs>
    </w:pPr>
    <w:rPr>
      <w:sz w:val="20"/>
    </w:rPr>
  </w:style>
  <w:style w:type="character" w:customStyle="1" w:styleId="KopfzeileZchn">
    <w:name w:val="Kopfzeile Zchn"/>
    <w:basedOn w:val="Absatz-Standardschriftart"/>
    <w:link w:val="Kopfzeile"/>
    <w:semiHidden/>
    <w:rsid w:val="009F7790"/>
    <w:rPr>
      <w:rFonts w:ascii="Cambria" w:eastAsia="Times New Roman" w:hAnsi="Cambria" w:cs="Times New Roman"/>
      <w:sz w:val="20"/>
      <w:szCs w:val="24"/>
      <w:lang w:val="fr-BE"/>
    </w:rPr>
  </w:style>
  <w:style w:type="paragraph" w:customStyle="1" w:styleId="LgendeIndent">
    <w:name w:val="Légende Indent"/>
    <w:basedOn w:val="Beschriftung"/>
    <w:next w:val="NumbParag"/>
    <w:rsid w:val="009F7790"/>
    <w:pPr>
      <w:ind w:left="567"/>
    </w:pPr>
  </w:style>
  <w:style w:type="paragraph" w:styleId="Aufzhlungszeichen">
    <w:name w:val="List Bullet"/>
    <w:basedOn w:val="Standard"/>
    <w:uiPriority w:val="99"/>
    <w:unhideWhenUsed/>
    <w:rsid w:val="009F7790"/>
    <w:pPr>
      <w:numPr>
        <w:numId w:val="11"/>
      </w:numPr>
      <w:contextualSpacing/>
    </w:pPr>
  </w:style>
  <w:style w:type="paragraph" w:styleId="Listenabsatz">
    <w:name w:val="List Paragraph"/>
    <w:basedOn w:val="Standard"/>
    <w:uiPriority w:val="34"/>
    <w:qFormat/>
    <w:rsid w:val="009F7790"/>
    <w:pPr>
      <w:ind w:left="708"/>
    </w:pPr>
  </w:style>
  <w:style w:type="table" w:customStyle="1" w:styleId="Listeclaire1">
    <w:name w:val="Liste claire1"/>
    <w:basedOn w:val="NormaleTabelle"/>
    <w:uiPriority w:val="61"/>
    <w:rsid w:val="009F7790"/>
    <w:pPr>
      <w:spacing w:after="0" w:line="240" w:lineRule="auto"/>
    </w:pPr>
    <w:rPr>
      <w:rFonts w:ascii="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2">
    <w:name w:val="Liste claire2"/>
    <w:basedOn w:val="NormaleTabelle"/>
    <w:uiPriority w:val="61"/>
    <w:rsid w:val="009F7790"/>
    <w:pPr>
      <w:spacing w:after="0" w:line="240" w:lineRule="auto"/>
    </w:pPr>
    <w:rPr>
      <w:rFonts w:ascii="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ecouleur-Accent11">
    <w:name w:val="Liste couleur - Accent 11"/>
    <w:basedOn w:val="Standard"/>
    <w:uiPriority w:val="34"/>
    <w:semiHidden/>
    <w:qFormat/>
    <w:rsid w:val="009F7790"/>
    <w:pPr>
      <w:ind w:left="708"/>
    </w:pPr>
  </w:style>
  <w:style w:type="paragraph" w:styleId="StandardWeb">
    <w:name w:val="Normal (Web)"/>
    <w:basedOn w:val="Standard"/>
    <w:uiPriority w:val="99"/>
    <w:unhideWhenUsed/>
    <w:rsid w:val="009F7790"/>
    <w:pPr>
      <w:spacing w:before="100" w:after="100" w:line="240" w:lineRule="atLeast"/>
      <w:jc w:val="left"/>
    </w:pPr>
    <w:rPr>
      <w:rFonts w:ascii="Verdana" w:hAnsi="Verdana"/>
      <w:color w:val="000000"/>
      <w:sz w:val="18"/>
      <w:szCs w:val="18"/>
    </w:rPr>
  </w:style>
  <w:style w:type="paragraph" w:customStyle="1" w:styleId="Standaardinspringing1">
    <w:name w:val="Standaardinspringing1"/>
    <w:basedOn w:val="Standard"/>
    <w:qFormat/>
    <w:rsid w:val="009F7790"/>
    <w:pPr>
      <w:ind w:left="709"/>
    </w:pPr>
  </w:style>
  <w:style w:type="paragraph" w:customStyle="1" w:styleId="NormalInterline1x">
    <w:name w:val="Normal Interline 1x"/>
    <w:basedOn w:val="Standard"/>
    <w:rsid w:val="009F7790"/>
    <w:pPr>
      <w:spacing w:after="120"/>
    </w:pPr>
  </w:style>
  <w:style w:type="paragraph" w:customStyle="1" w:styleId="NormalInterline115x">
    <w:name w:val="Normal Interline 1.15x"/>
    <w:basedOn w:val="NormalInterline1x"/>
    <w:rsid w:val="009F7790"/>
    <w:pPr>
      <w:spacing w:line="276" w:lineRule="auto"/>
    </w:pPr>
  </w:style>
  <w:style w:type="paragraph" w:customStyle="1" w:styleId="NormalNS">
    <w:name w:val="Normal NS"/>
    <w:basedOn w:val="Standard"/>
    <w:locked/>
    <w:rsid w:val="009F7790"/>
  </w:style>
  <w:style w:type="paragraph" w:customStyle="1" w:styleId="NormalNSIndent">
    <w:name w:val="Normal NS Indent."/>
    <w:basedOn w:val="NormalNS"/>
    <w:qFormat/>
    <w:rsid w:val="009F7790"/>
    <w:pPr>
      <w:ind w:left="709"/>
    </w:pPr>
  </w:style>
  <w:style w:type="paragraph" w:customStyle="1" w:styleId="NumbParagIndent">
    <w:name w:val="Numb. Parag. Indent"/>
    <w:basedOn w:val="NumbParag"/>
    <w:link w:val="NumbParagIndentChar"/>
    <w:qFormat/>
    <w:rsid w:val="00090503"/>
    <w:pPr>
      <w:numPr>
        <w:numId w:val="0"/>
      </w:numPr>
    </w:pPr>
  </w:style>
  <w:style w:type="paragraph" w:customStyle="1" w:styleId="NumbParagIndentNS">
    <w:name w:val="Numb. Parag. Indent NS"/>
    <w:basedOn w:val="NumbParagIndent"/>
    <w:rsid w:val="009F7790"/>
  </w:style>
  <w:style w:type="paragraph" w:customStyle="1" w:styleId="NumbParagIndentX2">
    <w:name w:val="Numb. Parag. Indent X2"/>
    <w:basedOn w:val="NumbParagIndent"/>
    <w:link w:val="NumbParagIndentX2Char"/>
    <w:rsid w:val="009F7790"/>
    <w:pPr>
      <w:numPr>
        <w:ilvl w:val="2"/>
      </w:numPr>
    </w:pPr>
  </w:style>
  <w:style w:type="paragraph" w:customStyle="1" w:styleId="NumbParagNS">
    <w:name w:val="Numb. Parag. NS"/>
    <w:basedOn w:val="NumbParag"/>
    <w:locked/>
    <w:rsid w:val="009F7790"/>
    <w:pPr>
      <w:numPr>
        <w:numId w:val="0"/>
      </w:numPr>
    </w:pPr>
  </w:style>
  <w:style w:type="paragraph" w:customStyle="1" w:styleId="numbpar1">
    <w:name w:val="numb.par.1"/>
    <w:basedOn w:val="NumbParag"/>
    <w:qFormat/>
    <w:rsid w:val="009F7790"/>
    <w:pPr>
      <w:numPr>
        <w:numId w:val="0"/>
      </w:numPr>
    </w:pPr>
    <w:rPr>
      <w:sz w:val="24"/>
    </w:rPr>
  </w:style>
  <w:style w:type="paragraph" w:customStyle="1" w:styleId="NumbPar2">
    <w:name w:val="Numb.Par.2"/>
    <w:basedOn w:val="NumbParag"/>
    <w:qFormat/>
    <w:rsid w:val="009F7790"/>
    <w:pPr>
      <w:numPr>
        <w:numId w:val="0"/>
      </w:numPr>
      <w:ind w:left="1440" w:hanging="360"/>
    </w:pPr>
    <w:rPr>
      <w:sz w:val="24"/>
    </w:rPr>
  </w:style>
  <w:style w:type="paragraph" w:customStyle="1" w:styleId="Numpar1">
    <w:name w:val="Numpar1"/>
    <w:basedOn w:val="Standard"/>
    <w:uiPriority w:val="99"/>
    <w:qFormat/>
    <w:rsid w:val="009F7790"/>
    <w:pPr>
      <w:tabs>
        <w:tab w:val="num" w:pos="709"/>
      </w:tabs>
      <w:spacing w:before="120" w:after="120"/>
      <w:ind w:left="709" w:hanging="567"/>
    </w:pPr>
    <w:rPr>
      <w:rFonts w:cs="Arial"/>
      <w:noProof/>
      <w:color w:val="000000"/>
      <w:szCs w:val="18"/>
    </w:rPr>
  </w:style>
  <w:style w:type="paragraph" w:customStyle="1" w:styleId="Numpar2">
    <w:name w:val="Numpar2"/>
    <w:basedOn w:val="Standard"/>
    <w:qFormat/>
    <w:rsid w:val="009F7790"/>
    <w:pPr>
      <w:tabs>
        <w:tab w:val="num" w:pos="1134"/>
      </w:tabs>
      <w:spacing w:before="120" w:after="120"/>
      <w:ind w:left="1134" w:hanging="567"/>
    </w:pPr>
    <w:rPr>
      <w:rFonts w:cs="Arial"/>
      <w:color w:val="000000"/>
      <w:szCs w:val="18"/>
    </w:rPr>
  </w:style>
  <w:style w:type="paragraph" w:customStyle="1" w:styleId="Numpar3">
    <w:name w:val="Numpar3"/>
    <w:basedOn w:val="Numpar2"/>
    <w:qFormat/>
    <w:rsid w:val="009F7790"/>
    <w:pPr>
      <w:tabs>
        <w:tab w:val="clear" w:pos="1134"/>
        <w:tab w:val="left" w:pos="1701"/>
      </w:tabs>
      <w:ind w:left="1701"/>
    </w:pPr>
  </w:style>
  <w:style w:type="table" w:customStyle="1" w:styleId="Ombrageclair1">
    <w:name w:val="Ombrage clair1"/>
    <w:basedOn w:val="NormaleTabelle"/>
    <w:uiPriority w:val="60"/>
    <w:rsid w:val="009F7790"/>
    <w:pPr>
      <w:spacing w:after="0" w:line="240" w:lineRule="auto"/>
    </w:pPr>
    <w:rPr>
      <w:rFonts w:ascii="Times New Roman" w:hAnsi="Times New Roman" w:cs="Times New Roman"/>
      <w:color w:val="000000"/>
      <w:sz w:val="20"/>
      <w:szCs w:val="20"/>
    </w:rPr>
    <w:tblPr>
      <w:tblStyleRowBandSize w:val="1"/>
      <w:tblStyleColBandSize w:val="1"/>
      <w:tblInd w:w="680" w:type="dxa"/>
      <w:tblBorders>
        <w:top w:val="single" w:sz="8" w:space="0" w:color="auto"/>
        <w:left w:val="single" w:sz="8" w:space="0" w:color="auto"/>
        <w:bottom w:val="single" w:sz="8" w:space="0" w:color="auto"/>
        <w:right w:val="single" w:sz="8" w:space="0" w:color="auto"/>
      </w:tblBorders>
    </w:tblPr>
    <w:tblStylePr w:type="firstRow">
      <w:pPr>
        <w:spacing w:before="0" w:after="0" w:line="240" w:lineRule="auto"/>
      </w:pPr>
      <w:rPr>
        <w:b/>
        <w:bCs/>
        <w:color w:val="FFFFFF"/>
      </w:rPr>
      <w:tblPr/>
      <w:tcPr>
        <w:shd w:val="clear" w:color="auto" w:fill="595959"/>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right w:val="dashed" w:sz="4" w:space="0" w:color="595959"/>
        </w:tcBorders>
      </w:tcPr>
    </w:tblStylePr>
    <w:tblStylePr w:type="lastCol">
      <w:rPr>
        <w:b/>
        <w:bCs/>
      </w:rPr>
    </w:tblStylePr>
    <w:tblStylePr w:type="band2Horz">
      <w:tblPr/>
      <w:tcPr>
        <w:shd w:val="clear" w:color="auto" w:fill="D9D9D9"/>
      </w:tcPr>
    </w:tblStylePr>
  </w:style>
  <w:style w:type="table" w:customStyle="1" w:styleId="Ombrageclair2">
    <w:name w:val="Ombrage clair2"/>
    <w:basedOn w:val="NormaleTabelle"/>
    <w:uiPriority w:val="60"/>
    <w:rsid w:val="009F7790"/>
    <w:pPr>
      <w:spacing w:after="0" w:line="240" w:lineRule="auto"/>
    </w:pPr>
    <w:rPr>
      <w:rFonts w:ascii="Cambria" w:hAnsi="Cambria" w:cs="Times New Roman"/>
      <w:color w:val="000000"/>
      <w:szCs w:val="20"/>
    </w:rPr>
    <w:tblPr>
      <w:tblStyleRowBandSize w:val="1"/>
      <w:tblStyleColBandSize w:val="1"/>
      <w:tblInd w:w="794" w:type="dxa"/>
      <w:tblBorders>
        <w:top w:val="single" w:sz="8" w:space="0" w:color="auto"/>
        <w:left w:val="single" w:sz="8" w:space="0" w:color="auto"/>
        <w:bottom w:val="single" w:sz="8" w:space="0" w:color="auto"/>
        <w:right w:val="single" w:sz="8" w:space="0" w:color="auto"/>
      </w:tblBorders>
    </w:tblPr>
    <w:tblStylePr w:type="firstRow">
      <w:pPr>
        <w:spacing w:before="0" w:after="0" w:line="240" w:lineRule="auto"/>
      </w:pPr>
      <w:rPr>
        <w:rFonts w:ascii="Cambria" w:hAnsi="Cambria"/>
        <w:b/>
        <w:bCs/>
        <w:color w:val="FFFFFF"/>
        <w:sz w:val="22"/>
      </w:rPr>
      <w:tblPr/>
      <w:tcPr>
        <w:shd w:val="clear" w:color="auto" w:fill="595959"/>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rFonts w:ascii="Cambria" w:hAnsi="Cambria"/>
        <w:b/>
        <w:bCs/>
        <w:sz w:val="22"/>
      </w:rPr>
      <w:tblPr/>
      <w:tcPr>
        <w:tcBorders>
          <w:right w:val="dashed" w:sz="4" w:space="0" w:color="595959"/>
        </w:tcBorders>
      </w:tcPr>
    </w:tblStylePr>
    <w:tblStylePr w:type="lastCol">
      <w:rPr>
        <w:b/>
        <w:bCs/>
      </w:rPr>
    </w:tblStylePr>
    <w:tblStylePr w:type="band2Horz">
      <w:tblPr/>
      <w:tcPr>
        <w:shd w:val="clear" w:color="auto" w:fill="D9D9D9"/>
      </w:tcPr>
    </w:tblStylePr>
  </w:style>
  <w:style w:type="paragraph" w:styleId="Kommentartext">
    <w:name w:val="annotation text"/>
    <w:basedOn w:val="Standard"/>
    <w:link w:val="KommentartextZchn"/>
    <w:uiPriority w:val="99"/>
    <w:semiHidden/>
    <w:rsid w:val="009F7790"/>
    <w:rPr>
      <w:sz w:val="20"/>
      <w:szCs w:val="20"/>
    </w:rPr>
  </w:style>
  <w:style w:type="character" w:customStyle="1" w:styleId="KommentartextZchn">
    <w:name w:val="Kommentartext Zchn"/>
    <w:basedOn w:val="Absatz-Standardschriftart"/>
    <w:link w:val="Kommentartext"/>
    <w:uiPriority w:val="99"/>
    <w:semiHidden/>
    <w:rsid w:val="009F7790"/>
    <w:rPr>
      <w:rFonts w:ascii="Cambria" w:eastAsia="Times New Roman" w:hAnsi="Cambria" w:cs="Times New Roman"/>
      <w:sz w:val="20"/>
      <w:szCs w:val="20"/>
      <w:lang w:val="fr-BE"/>
    </w:rPr>
  </w:style>
  <w:style w:type="paragraph" w:styleId="Kommentarthema">
    <w:name w:val="annotation subject"/>
    <w:basedOn w:val="Kommentartext"/>
    <w:next w:val="Kommentartext"/>
    <w:link w:val="KommentarthemaZchn"/>
    <w:semiHidden/>
    <w:rsid w:val="009F7790"/>
    <w:pPr>
      <w:spacing w:after="360"/>
    </w:pPr>
    <w:rPr>
      <w:b/>
      <w:bCs/>
    </w:rPr>
  </w:style>
  <w:style w:type="character" w:customStyle="1" w:styleId="KommentarthemaZchn">
    <w:name w:val="Kommentarthema Zchn"/>
    <w:basedOn w:val="KommentartextZchn"/>
    <w:link w:val="Kommentarthema"/>
    <w:semiHidden/>
    <w:rsid w:val="009F7790"/>
    <w:rPr>
      <w:rFonts w:ascii="Cambria" w:eastAsia="Times New Roman" w:hAnsi="Cambria" w:cs="Times New Roman"/>
      <w:b/>
      <w:bCs/>
      <w:sz w:val="20"/>
      <w:szCs w:val="20"/>
      <w:lang w:val="fr-BE"/>
    </w:rPr>
  </w:style>
  <w:style w:type="character" w:styleId="Seitenzahl">
    <w:name w:val="page number"/>
    <w:semiHidden/>
    <w:rsid w:val="009F7790"/>
    <w:rPr>
      <w:rFonts w:ascii="Cambria" w:hAnsi="Cambria" w:cs="Times New Roman"/>
      <w:sz w:val="20"/>
      <w:szCs w:val="16"/>
      <w:u w:val="single"/>
    </w:rPr>
  </w:style>
  <w:style w:type="paragraph" w:customStyle="1" w:styleId="Retraitnormal1">
    <w:name w:val="Retrait normal1"/>
    <w:basedOn w:val="Standard"/>
    <w:qFormat/>
    <w:rsid w:val="009F7790"/>
    <w:pPr>
      <w:ind w:left="567"/>
    </w:pPr>
  </w:style>
  <w:style w:type="paragraph" w:customStyle="1" w:styleId="Sous-titreGras">
    <w:name w:val="Sous-titre Gras"/>
    <w:basedOn w:val="Standard"/>
    <w:next w:val="NumbParag"/>
    <w:rsid w:val="009F7790"/>
    <w:pPr>
      <w:keepNext/>
      <w:spacing w:after="120"/>
    </w:pPr>
    <w:rPr>
      <w:b/>
      <w:bCs/>
      <w:color w:val="7CA1CE"/>
    </w:rPr>
  </w:style>
  <w:style w:type="paragraph" w:customStyle="1" w:styleId="Sous-TitreItalic">
    <w:name w:val="Sous-Titre Italic"/>
    <w:basedOn w:val="Standard"/>
    <w:next w:val="NumbParag"/>
    <w:rsid w:val="009F7790"/>
    <w:pPr>
      <w:keepNext/>
      <w:spacing w:after="120"/>
    </w:pPr>
    <w:rPr>
      <w:i/>
      <w:iCs/>
      <w:color w:val="7CA1CE"/>
    </w:rPr>
  </w:style>
  <w:style w:type="paragraph" w:customStyle="1" w:styleId="Sous-TitreUnderline">
    <w:name w:val="Sous-Titre Underline"/>
    <w:basedOn w:val="Standard"/>
    <w:next w:val="NumbParag"/>
    <w:rsid w:val="009F7790"/>
    <w:pPr>
      <w:keepNext/>
      <w:spacing w:after="120"/>
    </w:pPr>
    <w:rPr>
      <w:color w:val="7CA1CE"/>
      <w:u w:val="single"/>
    </w:rPr>
  </w:style>
  <w:style w:type="paragraph" w:customStyle="1" w:styleId="Sous-TitreUIndent">
    <w:name w:val="Sous-Titre U. Indent"/>
    <w:basedOn w:val="Sous-TitreUnderline"/>
    <w:next w:val="NumbParag"/>
    <w:qFormat/>
    <w:rsid w:val="009F7790"/>
    <w:pPr>
      <w:ind w:left="709"/>
    </w:pPr>
  </w:style>
  <w:style w:type="table" w:customStyle="1" w:styleId="Style1">
    <w:name w:val="Style1"/>
    <w:rsid w:val="009F7790"/>
    <w:pPr>
      <w:spacing w:after="0" w:line="240" w:lineRule="auto"/>
    </w:pPr>
    <w:rPr>
      <w:rFonts w:ascii="Times New Roman" w:hAnsi="Times New Roman" w:cs="Times New Roman"/>
      <w:sz w:val="20"/>
      <w:szCs w:val="20"/>
    </w:rPr>
    <w:tblPr>
      <w:tblInd w:w="0" w:type="dxa"/>
      <w:tblCellMar>
        <w:top w:w="0" w:type="dxa"/>
        <w:left w:w="108" w:type="dxa"/>
        <w:bottom w:w="0" w:type="dxa"/>
        <w:right w:w="108" w:type="dxa"/>
      </w:tblCellMar>
    </w:tblPr>
  </w:style>
  <w:style w:type="paragraph" w:styleId="Untertitel">
    <w:name w:val="Subtitle"/>
    <w:basedOn w:val="Standard"/>
    <w:next w:val="Standard"/>
    <w:link w:val="UntertitelZchn"/>
    <w:uiPriority w:val="11"/>
    <w:qFormat/>
    <w:rsid w:val="009F7790"/>
    <w:pPr>
      <w:spacing w:after="60"/>
      <w:jc w:val="center"/>
      <w:outlineLvl w:val="1"/>
    </w:pPr>
    <w:rPr>
      <w:color w:val="7CA1CE"/>
      <w:sz w:val="24"/>
    </w:rPr>
  </w:style>
  <w:style w:type="character" w:customStyle="1" w:styleId="UntertitelZchn">
    <w:name w:val="Untertitel Zchn"/>
    <w:basedOn w:val="Absatz-Standardschriftart"/>
    <w:link w:val="Untertitel"/>
    <w:uiPriority w:val="11"/>
    <w:rsid w:val="009F7790"/>
    <w:rPr>
      <w:rFonts w:ascii="Cambria" w:eastAsia="Times New Roman" w:hAnsi="Cambria" w:cs="Times New Roman"/>
      <w:color w:val="7CA1CE"/>
      <w:sz w:val="24"/>
      <w:szCs w:val="24"/>
      <w:lang w:val="fr-BE"/>
    </w:rPr>
  </w:style>
  <w:style w:type="table" w:styleId="Tabellenraster">
    <w:name w:val="Table Grid"/>
    <w:basedOn w:val="NormaleTabelle"/>
    <w:uiPriority w:val="59"/>
    <w:rsid w:val="009F7790"/>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
    <w:name w:val="Table"/>
    <w:rsid w:val="009F7790"/>
    <w:pPr>
      <w:keepNext/>
      <w:spacing w:after="120"/>
    </w:pPr>
    <w:rPr>
      <w:rFonts w:ascii="Times New Roman" w:hAnsi="Times New Roman" w:cs="Times New Roman"/>
      <w:sz w:val="24"/>
      <w:szCs w:val="24"/>
    </w:rPr>
    <w:tblPr>
      <w:tblInd w:w="9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108" w:type="dxa"/>
        <w:bottom w:w="57" w:type="dxa"/>
        <w:right w:w="108" w:type="dxa"/>
      </w:tblCellMar>
    </w:tblPr>
  </w:style>
  <w:style w:type="character" w:styleId="Platzhaltertext">
    <w:name w:val="Placeholder Text"/>
    <w:basedOn w:val="Absatz-Standardschriftart"/>
    <w:uiPriority w:val="99"/>
    <w:semiHidden/>
    <w:rsid w:val="009F7790"/>
    <w:rPr>
      <w:color w:val="808080"/>
    </w:rPr>
  </w:style>
  <w:style w:type="character" w:customStyle="1" w:styleId="Tekstvantijdelijkeaanduiding1">
    <w:name w:val="Tekst van tijdelijke aanduiding1"/>
    <w:semiHidden/>
    <w:rsid w:val="009F7790"/>
    <w:rPr>
      <w:color w:val="808080"/>
    </w:rPr>
  </w:style>
  <w:style w:type="paragraph" w:styleId="NurText">
    <w:name w:val="Plain Text"/>
    <w:basedOn w:val="Standard"/>
    <w:link w:val="NurTextZchn"/>
    <w:uiPriority w:val="99"/>
    <w:rsid w:val="009F7790"/>
    <w:pPr>
      <w:jc w:val="left"/>
    </w:pPr>
    <w:rPr>
      <w:sz w:val="21"/>
      <w:szCs w:val="21"/>
    </w:rPr>
  </w:style>
  <w:style w:type="character" w:customStyle="1" w:styleId="NurTextZchn">
    <w:name w:val="Nur Text Zchn"/>
    <w:basedOn w:val="Absatz-Standardschriftart"/>
    <w:link w:val="NurText"/>
    <w:uiPriority w:val="99"/>
    <w:rsid w:val="009F7790"/>
    <w:rPr>
      <w:rFonts w:ascii="Cambria" w:eastAsia="Times New Roman" w:hAnsi="Cambria" w:cs="Times New Roman"/>
      <w:sz w:val="21"/>
      <w:szCs w:val="21"/>
      <w:lang w:val="fr-BE"/>
    </w:rPr>
  </w:style>
  <w:style w:type="paragraph" w:customStyle="1" w:styleId="TitleUnreferenced">
    <w:name w:val="Title Unreferenced"/>
    <w:next w:val="Standard"/>
    <w:semiHidden/>
    <w:locked/>
    <w:rsid w:val="009F7790"/>
    <w:pPr>
      <w:spacing w:after="360" w:line="240" w:lineRule="auto"/>
    </w:pPr>
    <w:rPr>
      <w:rFonts w:ascii="Cambria" w:hAnsi="Cambria" w:cs="Times New Roman"/>
      <w:b/>
      <w:bCs/>
      <w:caps/>
      <w:color w:val="365F91"/>
      <w:kern w:val="20"/>
      <w:position w:val="8"/>
      <w:sz w:val="28"/>
      <w:szCs w:val="28"/>
    </w:rPr>
  </w:style>
  <w:style w:type="table" w:customStyle="1" w:styleId="Trameclaire-Accent11">
    <w:name w:val="Trame claire - Accent 11"/>
    <w:locked/>
    <w:rsid w:val="009F7790"/>
    <w:pPr>
      <w:spacing w:after="0" w:line="240" w:lineRule="auto"/>
    </w:pPr>
    <w:rPr>
      <w:rFonts w:ascii="Times New Roma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Kommentarzeichen">
    <w:name w:val="annotation reference"/>
    <w:aliases w:val="Titre 4 Car Char,h4 Car Char,Kop 4 Char1,h4 Char1,Titre 4 Car Char2,h4 Car Char2"/>
    <w:uiPriority w:val="99"/>
    <w:rsid w:val="009F7790"/>
    <w:rPr>
      <w:sz w:val="16"/>
      <w:szCs w:val="16"/>
    </w:rPr>
  </w:style>
  <w:style w:type="character" w:styleId="Funotenzeichen">
    <w:name w:val="footnote reference"/>
    <w:aliases w:val="Ref,de nota al pie,Voetnootmarkering1,Footnote Reference Superscript,Footnote symbol,Times 10 Point,Exposant 3 Point,Appel note de bas de p,PBO Footnote Reference,FR + (Complex) Arial,(Latin) 9 pt,(Complex) 10 pt + (Compl...,Footnote"/>
    <w:uiPriority w:val="99"/>
    <w:qFormat/>
    <w:rsid w:val="009F7790"/>
    <w:rPr>
      <w:vertAlign w:val="superscript"/>
    </w:rPr>
  </w:style>
  <w:style w:type="paragraph" w:styleId="Funotentext">
    <w:name w:val="footnote text"/>
    <w:aliases w:val="fn,Footnotes,Footnote ak,ALTS FOOTNOTE,Footnote Text Char,footnote text,fn cafc,ft Char,fn cafc Char,Char Char, Char Char,ALTS FO"/>
    <w:basedOn w:val="Standard"/>
    <w:link w:val="FunotentextZchn"/>
    <w:uiPriority w:val="99"/>
    <w:rsid w:val="009F7790"/>
    <w:pPr>
      <w:keepNext/>
      <w:spacing w:after="120"/>
    </w:pPr>
    <w:rPr>
      <w:sz w:val="20"/>
      <w:szCs w:val="20"/>
    </w:rPr>
  </w:style>
  <w:style w:type="character" w:customStyle="1" w:styleId="FunotentextZchn">
    <w:name w:val="Fußnotentext Zchn"/>
    <w:aliases w:val="fn Zchn,Footnotes Zchn,Footnote ak Zchn,ALTS FOOTNOTE Zchn,Footnote Text Char Zchn,footnote text Zchn,fn cafc Zchn,ft Char Zchn,fn cafc Char Zchn,Char Char Zchn, Char Char Zchn,ALTS FO Zchn"/>
    <w:basedOn w:val="Absatz-Standardschriftart"/>
    <w:link w:val="Funotentext"/>
    <w:uiPriority w:val="99"/>
    <w:rsid w:val="009F7790"/>
    <w:rPr>
      <w:rFonts w:ascii="Cambria" w:eastAsia="Times New Roman" w:hAnsi="Cambria" w:cs="Times New Roman"/>
      <w:sz w:val="20"/>
      <w:szCs w:val="20"/>
    </w:rPr>
  </w:style>
  <w:style w:type="paragraph" w:styleId="Fuzeile">
    <w:name w:val="footer"/>
    <w:basedOn w:val="Standard"/>
    <w:link w:val="FuzeileZchn"/>
    <w:uiPriority w:val="99"/>
    <w:rsid w:val="009F7790"/>
    <w:pPr>
      <w:tabs>
        <w:tab w:val="center" w:pos="890"/>
        <w:tab w:val="center" w:pos="4536"/>
        <w:tab w:val="right" w:pos="9072"/>
      </w:tabs>
    </w:pPr>
    <w:rPr>
      <w:sz w:val="20"/>
      <w:szCs w:val="20"/>
    </w:rPr>
  </w:style>
  <w:style w:type="character" w:customStyle="1" w:styleId="FuzeileZchn">
    <w:name w:val="Fußzeile Zchn"/>
    <w:basedOn w:val="Absatz-Standardschriftart"/>
    <w:link w:val="Fuzeile"/>
    <w:uiPriority w:val="99"/>
    <w:rsid w:val="009F7790"/>
    <w:rPr>
      <w:rFonts w:ascii="Cambria" w:eastAsia="Times New Roman" w:hAnsi="Cambria" w:cs="Times New Roman"/>
      <w:sz w:val="20"/>
      <w:szCs w:val="20"/>
      <w:lang w:val="fr-BE"/>
    </w:rPr>
  </w:style>
  <w:style w:type="paragraph" w:customStyle="1" w:styleId="wordsection1">
    <w:name w:val="wordsection1"/>
    <w:basedOn w:val="Standard"/>
    <w:uiPriority w:val="99"/>
    <w:rsid w:val="009F7790"/>
    <w:pPr>
      <w:spacing w:before="100" w:beforeAutospacing="1" w:after="100" w:afterAutospacing="1"/>
      <w:jc w:val="left"/>
    </w:pPr>
    <w:rPr>
      <w:rFonts w:eastAsia="Calibri"/>
    </w:rPr>
  </w:style>
  <w:style w:type="paragraph" w:customStyle="1" w:styleId="numpar10">
    <w:name w:val="numpar1"/>
    <w:basedOn w:val="Standard"/>
    <w:rsid w:val="00311247"/>
  </w:style>
  <w:style w:type="paragraph" w:customStyle="1" w:styleId="Opmaakprofiel1">
    <w:name w:val="Opmaakprofiel1"/>
    <w:basedOn w:val="numpar10"/>
    <w:link w:val="Opmaakprofiel1Char"/>
    <w:qFormat/>
    <w:rsid w:val="00311247"/>
    <w:pPr>
      <w:numPr>
        <w:numId w:val="36"/>
      </w:numPr>
      <w:spacing w:before="120" w:after="120" w:line="360" w:lineRule="auto"/>
    </w:pPr>
  </w:style>
  <w:style w:type="paragraph" w:customStyle="1" w:styleId="Opmaakprofiel2">
    <w:name w:val="Opmaakprofiel2"/>
    <w:basedOn w:val="Opmaakprofiel1"/>
    <w:qFormat/>
    <w:rsid w:val="00447D7D"/>
    <w:pPr>
      <w:numPr>
        <w:ilvl w:val="1"/>
      </w:numPr>
    </w:pPr>
  </w:style>
  <w:style w:type="character" w:customStyle="1" w:styleId="Opmaakprofiel1Char">
    <w:name w:val="Opmaakprofiel1 Char"/>
    <w:basedOn w:val="Absatz-Standardschriftart"/>
    <w:link w:val="Opmaakprofiel1"/>
    <w:rsid w:val="00311247"/>
    <w:rPr>
      <w:rFonts w:ascii="Cambria" w:hAnsi="Cambria" w:cs="Times New Roman"/>
    </w:rPr>
  </w:style>
  <w:style w:type="character" w:customStyle="1" w:styleId="NumPar1Car">
    <w:name w:val="NumPar1 Car"/>
    <w:basedOn w:val="Absatz-Standardschriftart"/>
    <w:unhideWhenUsed/>
    <w:locked/>
    <w:rsid w:val="00311247"/>
    <w:rPr>
      <w:rFonts w:asciiTheme="majorHAnsi" w:hAnsiTheme="majorHAnsi"/>
      <w:sz w:val="22"/>
      <w:szCs w:val="22"/>
    </w:rPr>
  </w:style>
  <w:style w:type="paragraph" w:styleId="Inhaltsverzeichnisberschrift">
    <w:name w:val="TOC Heading"/>
    <w:basedOn w:val="berschrift1"/>
    <w:next w:val="Standard"/>
    <w:uiPriority w:val="39"/>
    <w:unhideWhenUsed/>
    <w:qFormat/>
    <w:rsid w:val="00311247"/>
    <w:pPr>
      <w:keepLines/>
      <w:pageBreakBefore w:val="0"/>
      <w:numPr>
        <w:numId w:val="0"/>
      </w:numPr>
      <w:spacing w:after="0" w:line="276" w:lineRule="auto"/>
      <w:jc w:val="left"/>
      <w:outlineLvl w:val="9"/>
    </w:pPr>
    <w:rPr>
      <w:rFonts w:asciiTheme="majorHAnsi" w:eastAsiaTheme="majorEastAsia" w:hAnsiTheme="majorHAnsi" w:cstheme="majorBidi"/>
      <w:caps w:val="0"/>
      <w:noProof w:val="0"/>
      <w:color w:val="365F91" w:themeColor="accent1" w:themeShade="BF"/>
      <w:kern w:val="0"/>
      <w:position w:val="0"/>
    </w:rPr>
  </w:style>
  <w:style w:type="paragraph" w:styleId="berarbeitung">
    <w:name w:val="Revision"/>
    <w:hidden/>
    <w:uiPriority w:val="99"/>
    <w:semiHidden/>
    <w:rsid w:val="00BF1460"/>
    <w:pPr>
      <w:spacing w:after="0" w:line="240" w:lineRule="auto"/>
    </w:pPr>
    <w:rPr>
      <w:rFonts w:ascii="Cambria" w:hAnsi="Cambria" w:cs="Times New Roman"/>
    </w:rPr>
  </w:style>
  <w:style w:type="character" w:customStyle="1" w:styleId="tw4winMark">
    <w:name w:val="tw4winMark"/>
    <w:uiPriority w:val="99"/>
    <w:rsid w:val="00D01BF1"/>
    <w:rPr>
      <w:rFonts w:ascii="Courier New" w:hAnsi="Courier New"/>
      <w:vanish/>
      <w:color w:val="800080"/>
      <w:vertAlign w:val="subscript"/>
    </w:rPr>
  </w:style>
  <w:style w:type="paragraph" w:customStyle="1" w:styleId="Numbpar3">
    <w:name w:val="Numb. par. 3"/>
    <w:basedOn w:val="NumbParagIndentX2"/>
    <w:link w:val="Numbpar3Char"/>
    <w:qFormat/>
    <w:rsid w:val="00A63615"/>
    <w:pPr>
      <w:ind w:left="1843" w:hanging="709"/>
    </w:pPr>
  </w:style>
  <w:style w:type="character" w:customStyle="1" w:styleId="NumbParagChar">
    <w:name w:val="Numb. Parag. Char"/>
    <w:basedOn w:val="Absatz-Standardschriftart"/>
    <w:link w:val="NumbParag"/>
    <w:rsid w:val="00300B59"/>
    <w:rPr>
      <w:rFonts w:ascii="Cambria" w:hAnsi="Cambria" w:cs="Times New Roman"/>
      <w:noProof/>
    </w:rPr>
  </w:style>
  <w:style w:type="character" w:customStyle="1" w:styleId="NumbParagIndentChar">
    <w:name w:val="Numb. Parag. Indent Char"/>
    <w:basedOn w:val="NumbParagChar"/>
    <w:link w:val="NumbParagIndent"/>
    <w:rsid w:val="00090503"/>
    <w:rPr>
      <w:rFonts w:ascii="Cambria" w:hAnsi="Cambria" w:cs="Times New Roman"/>
      <w:noProof/>
    </w:rPr>
  </w:style>
  <w:style w:type="character" w:customStyle="1" w:styleId="NumbParagIndentX2Char">
    <w:name w:val="Numb. Parag. Indent X2 Char"/>
    <w:basedOn w:val="NumbParagIndentChar"/>
    <w:link w:val="NumbParagIndentX2"/>
    <w:rsid w:val="00394159"/>
    <w:rPr>
      <w:rFonts w:ascii="Cambria" w:hAnsi="Cambria" w:cs="Times New Roman"/>
      <w:noProof/>
      <w:lang w:val="fr-BE"/>
    </w:rPr>
  </w:style>
  <w:style w:type="character" w:customStyle="1" w:styleId="Numbpar3Char">
    <w:name w:val="Numb. par. 3 Char"/>
    <w:basedOn w:val="NumbParagIndentX2Char"/>
    <w:link w:val="Numbpar3"/>
    <w:rsid w:val="00A63615"/>
    <w:rPr>
      <w:rFonts w:ascii="Cambria" w:hAnsi="Cambria" w:cs="Times New Roman"/>
      <w:noProof/>
      <w:lang w:val="fr-BE"/>
    </w:rPr>
  </w:style>
  <w:style w:type="paragraph" w:customStyle="1" w:styleId="StyleCentr">
    <w:name w:val="Style Centré"/>
    <w:basedOn w:val="Standard"/>
    <w:rsid w:val="00287337"/>
    <w:pPr>
      <w:jc w:val="center"/>
    </w:pPr>
    <w:rPr>
      <w:rFonts w:ascii="Times New Roman" w:hAnsi="Times New Roman"/>
      <w:b/>
      <w:bCs/>
      <w:snapToGrid w:val="0"/>
      <w:sz w:val="28"/>
      <w:szCs w:val="28"/>
    </w:rPr>
  </w:style>
  <w:style w:type="character" w:customStyle="1" w:styleId="st">
    <w:name w:val="st"/>
    <w:basedOn w:val="Absatz-Standardschriftart"/>
    <w:rsid w:val="001F0762"/>
  </w:style>
  <w:style w:type="paragraph" w:styleId="Textkrper">
    <w:name w:val="Body Text"/>
    <w:basedOn w:val="Standard"/>
    <w:link w:val="TextkrperZchn"/>
    <w:rsid w:val="00222F4D"/>
    <w:pPr>
      <w:spacing w:before="120" w:after="120"/>
    </w:pPr>
    <w:rPr>
      <w:rFonts w:ascii="Arial" w:hAnsi="Arial"/>
      <w:snapToGrid w:val="0"/>
      <w:sz w:val="20"/>
      <w:szCs w:val="20"/>
    </w:rPr>
  </w:style>
  <w:style w:type="character" w:customStyle="1" w:styleId="TextkrperZchn">
    <w:name w:val="Textkörper Zchn"/>
    <w:basedOn w:val="Absatz-Standardschriftart"/>
    <w:link w:val="Textkrper"/>
    <w:rsid w:val="00222F4D"/>
    <w:rPr>
      <w:rFonts w:ascii="Arial" w:hAnsi="Arial" w:cs="Times New Roman"/>
      <w:snapToGrid w:val="0"/>
      <w:sz w:val="20"/>
      <w:szCs w:val="20"/>
      <w:lang w:val="fr-BE"/>
    </w:rPr>
  </w:style>
  <w:style w:type="numbering" w:customStyle="1" w:styleId="Paragraphes">
    <w:name w:val="Paragraphes"/>
    <w:rsid w:val="00BC40E4"/>
  </w:style>
  <w:style w:type="table" w:customStyle="1" w:styleId="LightList-Accent11">
    <w:name w:val="Light List - Accent 11"/>
    <w:basedOn w:val="NormaleTabelle"/>
    <w:uiPriority w:val="61"/>
    <w:rsid w:val="00DE6B5F"/>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rsid w:val="009D5058"/>
  </w:style>
  <w:style w:type="paragraph" w:styleId="KeinLeerraum">
    <w:name w:val="No Spacing"/>
    <w:uiPriority w:val="1"/>
    <w:qFormat/>
    <w:rsid w:val="009D5058"/>
    <w:pPr>
      <w:keepLines/>
      <w:spacing w:after="0" w:line="240" w:lineRule="auto"/>
      <w:jc w:val="both"/>
    </w:pPr>
    <w:rPr>
      <w:rFonts w:ascii="Cambria" w:hAnsi="Cambria" w:cs="Times New Roman"/>
      <w:snapToGrid w:val="0"/>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BE" w:eastAsia="fr-BE" w:bidi="fr-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247"/>
    <w:pPr>
      <w:spacing w:after="0" w:line="240" w:lineRule="auto"/>
      <w:jc w:val="both"/>
    </w:pPr>
    <w:rPr>
      <w:rFonts w:ascii="Cambria" w:hAnsi="Cambria" w:cs="Times New Roman"/>
    </w:rPr>
  </w:style>
  <w:style w:type="paragraph" w:styleId="berschrift1">
    <w:name w:val="heading 1"/>
    <w:aliases w:val="Part,1,l1,h1,Header 1,Legal Line 1,Heading A,Heading1,H1-Heading 1,head 1,list 1,heading 1,II+,I,H1,Head 1 (Chapter heading),Heading No. L1,niveau 1"/>
    <w:basedOn w:val="Standard"/>
    <w:next w:val="Standard"/>
    <w:link w:val="berschrift1Zchn"/>
    <w:qFormat/>
    <w:rsid w:val="009F7790"/>
    <w:pPr>
      <w:keepNext/>
      <w:pageBreakBefore/>
      <w:numPr>
        <w:numId w:val="10"/>
      </w:numPr>
      <w:spacing w:before="480" w:after="240" w:line="240" w:lineRule="atLeast"/>
      <w:outlineLvl w:val="0"/>
    </w:pPr>
    <w:rPr>
      <w:rFonts w:ascii="Calibri" w:hAnsi="Calibri"/>
      <w:b/>
      <w:bCs/>
      <w:caps/>
      <w:noProof/>
      <w:color w:val="365F91"/>
      <w:kern w:val="20"/>
      <w:position w:val="8"/>
      <w:sz w:val="28"/>
      <w:szCs w:val="28"/>
    </w:rPr>
  </w:style>
  <w:style w:type="paragraph" w:styleId="berschrift2">
    <w:name w:val="heading 2"/>
    <w:aliases w:val="Chapter Title,2,l2,Header2,header,Header1,Header11,Header111,Header1111,Header11111,Header111111,Header1111111,Header11111111,Header111111111,Header1111111111,Header11111111111,Header111111111111,Header1111111111111,Header11111111111111"/>
    <w:basedOn w:val="Standard"/>
    <w:next w:val="Standard"/>
    <w:link w:val="berschrift2Zchn"/>
    <w:qFormat/>
    <w:rsid w:val="00E1047F"/>
    <w:pPr>
      <w:keepNext/>
      <w:numPr>
        <w:ilvl w:val="1"/>
        <w:numId w:val="10"/>
      </w:numPr>
      <w:spacing w:before="360" w:after="120"/>
      <w:ind w:left="567" w:hanging="567"/>
      <w:outlineLvl w:val="1"/>
    </w:pPr>
    <w:rPr>
      <w:rFonts w:ascii="Calibri" w:hAnsi="Calibri"/>
      <w:b/>
      <w:bCs/>
      <w:smallCaps/>
      <w:color w:val="4F81BD"/>
      <w:kern w:val="24"/>
      <w:sz w:val="26"/>
    </w:rPr>
  </w:style>
  <w:style w:type="paragraph" w:styleId="berschrift3">
    <w:name w:val="heading 3"/>
    <w:aliases w:val="H3,h3,l3,3,Underrubrik2,h:3,orderpara2,H31,H32,H33,H34,H35,Title3,Map,3rd level,Heading 3 - old,Punt 3,Kop 3V,Header 3,niveau 3"/>
    <w:basedOn w:val="Standard"/>
    <w:next w:val="Standard"/>
    <w:link w:val="berschrift3Zchn"/>
    <w:qFormat/>
    <w:rsid w:val="002D7468"/>
    <w:pPr>
      <w:keepNext/>
      <w:numPr>
        <w:ilvl w:val="2"/>
        <w:numId w:val="2"/>
      </w:numPr>
      <w:spacing w:before="120" w:after="120"/>
      <w:ind w:left="720"/>
      <w:outlineLvl w:val="2"/>
    </w:pPr>
    <w:rPr>
      <w:rFonts w:ascii="Calibri" w:hAnsi="Calibri"/>
      <w:b/>
      <w:bCs/>
      <w:color w:val="7CA1CE"/>
      <w:spacing w:val="-10"/>
      <w:kern w:val="28"/>
      <w:sz w:val="24"/>
    </w:rPr>
  </w:style>
  <w:style w:type="paragraph" w:styleId="berschrift4">
    <w:name w:val="heading 4"/>
    <w:aliases w:val="h4,h4 Car,4,l4,heading4,heading,Header 4,Punt 4"/>
    <w:basedOn w:val="Standard"/>
    <w:next w:val="Standard"/>
    <w:link w:val="berschrift4Zchn"/>
    <w:qFormat/>
    <w:rsid w:val="009F7790"/>
    <w:pPr>
      <w:keepNext/>
      <w:numPr>
        <w:ilvl w:val="3"/>
        <w:numId w:val="10"/>
      </w:numPr>
      <w:tabs>
        <w:tab w:val="left" w:pos="851"/>
      </w:tabs>
      <w:spacing w:after="120"/>
      <w:outlineLvl w:val="3"/>
    </w:pPr>
    <w:rPr>
      <w:b/>
      <w:i/>
      <w:iCs/>
      <w:color w:val="7CA1CE"/>
    </w:rPr>
  </w:style>
  <w:style w:type="paragraph" w:styleId="berschrift5">
    <w:name w:val="heading 5"/>
    <w:aliases w:val="heading 5,Roman list,Header 5,Punt 5"/>
    <w:basedOn w:val="Standard"/>
    <w:next w:val="Standard"/>
    <w:link w:val="berschrift5Zchn"/>
    <w:qFormat/>
    <w:rsid w:val="009F7790"/>
    <w:pPr>
      <w:numPr>
        <w:ilvl w:val="4"/>
        <w:numId w:val="10"/>
      </w:numPr>
      <w:tabs>
        <w:tab w:val="right" w:pos="8505"/>
      </w:tabs>
      <w:snapToGrid w:val="0"/>
      <w:spacing w:before="240" w:after="60"/>
      <w:outlineLvl w:val="4"/>
    </w:pPr>
    <w:rPr>
      <w:b/>
      <w:bCs/>
    </w:rPr>
  </w:style>
  <w:style w:type="paragraph" w:styleId="berschrift6">
    <w:name w:val="heading 6"/>
    <w:basedOn w:val="Standard"/>
    <w:next w:val="Standard"/>
    <w:link w:val="berschrift6Zchn"/>
    <w:qFormat/>
    <w:rsid w:val="009F7790"/>
    <w:pPr>
      <w:numPr>
        <w:ilvl w:val="5"/>
        <w:numId w:val="10"/>
      </w:numPr>
      <w:spacing w:before="240" w:after="60"/>
      <w:outlineLvl w:val="5"/>
    </w:pPr>
    <w:rPr>
      <w:rFonts w:ascii="Calibri" w:hAnsi="Calibri"/>
      <w:b/>
      <w:bCs/>
    </w:rPr>
  </w:style>
  <w:style w:type="paragraph" w:styleId="berschrift7">
    <w:name w:val="heading 7"/>
    <w:basedOn w:val="Standard"/>
    <w:next w:val="Standard"/>
    <w:link w:val="berschrift7Zchn"/>
    <w:qFormat/>
    <w:rsid w:val="009F7790"/>
    <w:pPr>
      <w:numPr>
        <w:ilvl w:val="6"/>
        <w:numId w:val="10"/>
      </w:numPr>
      <w:spacing w:before="240" w:after="60"/>
      <w:outlineLvl w:val="6"/>
    </w:pPr>
    <w:rPr>
      <w:rFonts w:ascii="Calibri" w:hAnsi="Calibri"/>
      <w:sz w:val="24"/>
    </w:rPr>
  </w:style>
  <w:style w:type="paragraph" w:styleId="berschrift8">
    <w:name w:val="heading 8"/>
    <w:basedOn w:val="Standard"/>
    <w:next w:val="Standard"/>
    <w:link w:val="berschrift8Zchn"/>
    <w:qFormat/>
    <w:rsid w:val="009F7790"/>
    <w:pPr>
      <w:numPr>
        <w:ilvl w:val="7"/>
        <w:numId w:val="10"/>
      </w:numPr>
      <w:spacing w:before="240" w:after="60"/>
      <w:outlineLvl w:val="7"/>
    </w:pPr>
    <w:rPr>
      <w:rFonts w:ascii="Calibri" w:hAnsi="Calibri"/>
      <w:i/>
      <w:iCs/>
      <w:sz w:val="24"/>
    </w:rPr>
  </w:style>
  <w:style w:type="paragraph" w:styleId="berschrift9">
    <w:name w:val="heading 9"/>
    <w:basedOn w:val="Standard"/>
    <w:next w:val="Standard"/>
    <w:link w:val="berschrift9Zchn"/>
    <w:qFormat/>
    <w:rsid w:val="009F7790"/>
    <w:pPr>
      <w:numPr>
        <w:ilvl w:val="8"/>
        <w:numId w:val="10"/>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nnexe">
    <w:name w:val="Annexe"/>
    <w:rsid w:val="009F7790"/>
    <w:pPr>
      <w:numPr>
        <w:numId w:val="1"/>
      </w:numPr>
    </w:pPr>
  </w:style>
  <w:style w:type="character" w:customStyle="1" w:styleId="berschrift1Zchn">
    <w:name w:val="Überschrift 1 Zchn"/>
    <w:aliases w:val="Part Zchn,1 Zchn,l1 Zchn,h1 Zchn,Header 1 Zchn,Legal Line 1 Zchn,Heading A Zchn,Heading1 Zchn,H1-Heading 1 Zchn,head 1 Zchn,list 1 Zchn,heading 1 Zchn,II+ Zchn,I Zchn,H1 Zchn,Head 1 (Chapter heading) Zchn,Heading No. L1 Zchn"/>
    <w:basedOn w:val="Absatz-Standardschriftart"/>
    <w:link w:val="berschrift1"/>
    <w:rsid w:val="009F7790"/>
    <w:rPr>
      <w:rFonts w:ascii="Calibri" w:hAnsi="Calibri" w:cs="Times New Roman"/>
      <w:b/>
      <w:bCs/>
      <w:caps/>
      <w:noProof/>
      <w:color w:val="365F91"/>
      <w:kern w:val="20"/>
      <w:position w:val="8"/>
      <w:sz w:val="28"/>
      <w:szCs w:val="28"/>
      <w:lang w:val="fr-BE"/>
    </w:rPr>
  </w:style>
  <w:style w:type="paragraph" w:customStyle="1" w:styleId="Annexe1">
    <w:name w:val="Annexe 1"/>
    <w:basedOn w:val="berschrift1"/>
    <w:next w:val="Standard"/>
    <w:rsid w:val="009F7790"/>
    <w:pPr>
      <w:numPr>
        <w:numId w:val="3"/>
      </w:numPr>
      <w:tabs>
        <w:tab w:val="left" w:pos="1560"/>
      </w:tabs>
    </w:pPr>
  </w:style>
  <w:style w:type="character" w:customStyle="1" w:styleId="berschrift2Zchn">
    <w:name w:val="Überschrift 2 Zchn"/>
    <w:aliases w:val="Chapter Title Zchn,2 Zchn,l2 Zchn,Header2 Zchn,header Zchn,Header1 Zchn,Header11 Zchn,Header111 Zchn,Header1111 Zchn,Header11111 Zchn,Header111111 Zchn,Header1111111 Zchn,Header11111111 Zchn,Header111111111 Zchn,Header1111111111 Zchn"/>
    <w:basedOn w:val="Absatz-Standardschriftart"/>
    <w:link w:val="berschrift2"/>
    <w:rsid w:val="00E1047F"/>
    <w:rPr>
      <w:rFonts w:ascii="Calibri" w:hAnsi="Calibri" w:cs="Times New Roman"/>
      <w:b/>
      <w:bCs/>
      <w:smallCaps/>
      <w:color w:val="4F81BD"/>
      <w:kern w:val="24"/>
      <w:sz w:val="26"/>
    </w:rPr>
  </w:style>
  <w:style w:type="paragraph" w:customStyle="1" w:styleId="Annexe11">
    <w:name w:val="Annexe 1.1"/>
    <w:basedOn w:val="berschrift2"/>
    <w:next w:val="Standard"/>
    <w:rsid w:val="009F7790"/>
    <w:pPr>
      <w:numPr>
        <w:numId w:val="3"/>
      </w:numPr>
    </w:pPr>
  </w:style>
  <w:style w:type="character" w:customStyle="1" w:styleId="berschrift3Zchn">
    <w:name w:val="Überschrift 3 Zchn"/>
    <w:aliases w:val="H3 Zchn,h3 Zchn,l3 Zchn,3 Zchn,Underrubrik2 Zchn,h:3 Zchn,orderpara2 Zchn,H31 Zchn,H32 Zchn,H33 Zchn,H34 Zchn,H35 Zchn,Title3 Zchn,Map Zchn,3rd level Zchn,Heading 3 - old Zchn,Punt 3 Zchn,Kop 3V Zchn,Header 3 Zchn,niveau 3 Zchn"/>
    <w:basedOn w:val="Absatz-Standardschriftart"/>
    <w:link w:val="berschrift3"/>
    <w:rsid w:val="002D7468"/>
    <w:rPr>
      <w:rFonts w:ascii="Calibri" w:hAnsi="Calibri" w:cs="Times New Roman"/>
      <w:b/>
      <w:bCs/>
      <w:color w:val="7CA1CE"/>
      <w:spacing w:val="-10"/>
      <w:kern w:val="28"/>
      <w:sz w:val="24"/>
    </w:rPr>
  </w:style>
  <w:style w:type="paragraph" w:customStyle="1" w:styleId="Annexe111">
    <w:name w:val="Annexe 1.1.1"/>
    <w:basedOn w:val="berschrift3"/>
    <w:next w:val="Standard"/>
    <w:rsid w:val="009F7790"/>
    <w:pPr>
      <w:numPr>
        <w:numId w:val="3"/>
      </w:numPr>
    </w:pPr>
  </w:style>
  <w:style w:type="paragraph" w:customStyle="1" w:styleId="CitationItalic">
    <w:name w:val="Citation Italic"/>
    <w:basedOn w:val="Standard"/>
    <w:qFormat/>
    <w:locked/>
    <w:rsid w:val="009F7790"/>
    <w:pPr>
      <w:ind w:left="1134" w:right="662"/>
    </w:pPr>
    <w:rPr>
      <w:i/>
      <w:iCs/>
      <w:noProof/>
      <w:color w:val="404040"/>
    </w:rPr>
  </w:style>
  <w:style w:type="paragraph" w:customStyle="1" w:styleId="ArticledeLoi">
    <w:name w:val="Article de Loi"/>
    <w:basedOn w:val="CitationItalic"/>
    <w:rsid w:val="009F7790"/>
    <w:pPr>
      <w:ind w:left="2127" w:right="-46"/>
    </w:pPr>
  </w:style>
  <w:style w:type="paragraph" w:styleId="Sprechblasentext">
    <w:name w:val="Balloon Text"/>
    <w:basedOn w:val="Standard"/>
    <w:link w:val="SprechblasentextZchn"/>
    <w:semiHidden/>
    <w:rsid w:val="009F7790"/>
    <w:rPr>
      <w:sz w:val="16"/>
      <w:szCs w:val="16"/>
    </w:rPr>
  </w:style>
  <w:style w:type="character" w:customStyle="1" w:styleId="SprechblasentextZchn">
    <w:name w:val="Sprechblasentext Zchn"/>
    <w:basedOn w:val="Absatz-Standardschriftart"/>
    <w:link w:val="Sprechblasentext"/>
    <w:semiHidden/>
    <w:rsid w:val="009F7790"/>
    <w:rPr>
      <w:rFonts w:ascii="Cambria" w:eastAsia="Times New Roman" w:hAnsi="Cambria" w:cs="Times New Roman"/>
      <w:sz w:val="16"/>
      <w:szCs w:val="16"/>
      <w:lang w:val="fr-BE"/>
    </w:rPr>
  </w:style>
  <w:style w:type="paragraph" w:styleId="Beschriftung">
    <w:name w:val="caption"/>
    <w:aliases w:val="Bijschrift Char,Bijschrift Char1,Bijschrift Char Char"/>
    <w:basedOn w:val="Standard"/>
    <w:next w:val="Standard"/>
    <w:uiPriority w:val="35"/>
    <w:qFormat/>
    <w:rsid w:val="009F7790"/>
    <w:pPr>
      <w:jc w:val="center"/>
    </w:pPr>
    <w:rPr>
      <w:b/>
      <w:bCs/>
      <w:i/>
      <w:iCs/>
      <w:sz w:val="20"/>
      <w:szCs w:val="20"/>
    </w:rPr>
  </w:style>
  <w:style w:type="paragraph" w:customStyle="1" w:styleId="NumbParag">
    <w:name w:val="Numb. Parag."/>
    <w:basedOn w:val="Standard"/>
    <w:link w:val="NumbParagChar"/>
    <w:qFormat/>
    <w:locked/>
    <w:rsid w:val="00300B59"/>
    <w:pPr>
      <w:keepLines/>
      <w:numPr>
        <w:numId w:val="12"/>
      </w:numPr>
      <w:spacing w:after="360" w:line="281" w:lineRule="auto"/>
      <w:ind w:left="426" w:hanging="426"/>
    </w:pPr>
    <w:rPr>
      <w:noProof/>
    </w:rPr>
  </w:style>
  <w:style w:type="paragraph" w:customStyle="1" w:styleId="BulletType1">
    <w:name w:val="Bullet Type 1"/>
    <w:basedOn w:val="NumbParag"/>
    <w:qFormat/>
    <w:locked/>
    <w:rsid w:val="009F7790"/>
    <w:pPr>
      <w:numPr>
        <w:ilvl w:val="1"/>
        <w:numId w:val="4"/>
      </w:numPr>
      <w:tabs>
        <w:tab w:val="left" w:pos="567"/>
      </w:tabs>
      <w:contextualSpacing/>
    </w:pPr>
  </w:style>
  <w:style w:type="paragraph" w:customStyle="1" w:styleId="BulleIndentType1">
    <w:name w:val="Bulle Indent Type 1"/>
    <w:basedOn w:val="BulletType1"/>
    <w:rsid w:val="009F7790"/>
    <w:pPr>
      <w:numPr>
        <w:ilvl w:val="2"/>
      </w:numPr>
      <w:tabs>
        <w:tab w:val="clear" w:pos="567"/>
        <w:tab w:val="left" w:pos="2410"/>
      </w:tabs>
    </w:pPr>
  </w:style>
  <w:style w:type="paragraph" w:customStyle="1" w:styleId="BulletNum1">
    <w:name w:val="Bullet Num.1"/>
    <w:basedOn w:val="Standard"/>
    <w:qFormat/>
    <w:rsid w:val="009F7790"/>
    <w:pPr>
      <w:numPr>
        <w:numId w:val="5"/>
      </w:numPr>
      <w:tabs>
        <w:tab w:val="left" w:pos="1418"/>
      </w:tabs>
      <w:contextualSpacing/>
    </w:pPr>
  </w:style>
  <w:style w:type="paragraph" w:customStyle="1" w:styleId="BulletNum2">
    <w:name w:val="Bullet Num.2"/>
    <w:basedOn w:val="BulletNum1"/>
    <w:rsid w:val="009F7790"/>
    <w:pPr>
      <w:numPr>
        <w:numId w:val="6"/>
      </w:numPr>
    </w:pPr>
  </w:style>
  <w:style w:type="paragraph" w:customStyle="1" w:styleId="BulletType1NS">
    <w:name w:val="Bullet Type 1 NS"/>
    <w:basedOn w:val="BulletType1"/>
    <w:rsid w:val="009F7790"/>
    <w:pPr>
      <w:numPr>
        <w:ilvl w:val="0"/>
        <w:numId w:val="0"/>
      </w:numPr>
    </w:pPr>
  </w:style>
  <w:style w:type="paragraph" w:customStyle="1" w:styleId="BulletType2">
    <w:name w:val="Bullet Type 2"/>
    <w:basedOn w:val="BulletType1"/>
    <w:locked/>
    <w:rsid w:val="009F7790"/>
    <w:pPr>
      <w:numPr>
        <w:ilvl w:val="0"/>
        <w:numId w:val="7"/>
      </w:numPr>
    </w:pPr>
  </w:style>
  <w:style w:type="paragraph" w:customStyle="1" w:styleId="BulletTypeEspaceInter">
    <w:name w:val="Bullet Type Espace Inter"/>
    <w:basedOn w:val="BulletType1"/>
    <w:qFormat/>
    <w:rsid w:val="009F7790"/>
    <w:pPr>
      <w:numPr>
        <w:ilvl w:val="0"/>
        <w:numId w:val="0"/>
      </w:numPr>
      <w:contextualSpacing w:val="0"/>
    </w:pPr>
  </w:style>
  <w:style w:type="character" w:customStyle="1" w:styleId="Char">
    <w:name w:val="Char"/>
    <w:semiHidden/>
    <w:rsid w:val="009F7790"/>
    <w:rPr>
      <w:rFonts w:ascii="Times New Roman" w:hAnsi="Times New Roman" w:cs="Times New Roman"/>
      <w:sz w:val="21"/>
      <w:szCs w:val="21"/>
    </w:rPr>
  </w:style>
  <w:style w:type="character" w:customStyle="1" w:styleId="Char1">
    <w:name w:val="Char1"/>
    <w:semiHidden/>
    <w:rsid w:val="009F7790"/>
    <w:rPr>
      <w:rFonts w:ascii="Times New Roman" w:eastAsia="Times New Roman" w:hAnsi="Times New Roman" w:cs="Times New Roman"/>
      <w:sz w:val="16"/>
      <w:szCs w:val="16"/>
    </w:rPr>
  </w:style>
  <w:style w:type="character" w:customStyle="1" w:styleId="Char2">
    <w:name w:val="Char2"/>
    <w:semiHidden/>
    <w:rsid w:val="009F7790"/>
    <w:rPr>
      <w:rFonts w:ascii="Times New Roman" w:eastAsia="Times New Roman" w:hAnsi="Times New Roman" w:cs="Times New Roman"/>
      <w:sz w:val="16"/>
      <w:szCs w:val="16"/>
    </w:rPr>
  </w:style>
  <w:style w:type="character" w:customStyle="1" w:styleId="Char3">
    <w:name w:val="Char3"/>
    <w:semiHidden/>
    <w:rsid w:val="009F7790"/>
    <w:rPr>
      <w:rFonts w:ascii="Times New Roman" w:eastAsia="Times New Roman" w:hAnsi="Times New Roman" w:cs="Times New Roman"/>
      <w:sz w:val="20"/>
      <w:szCs w:val="20"/>
    </w:rPr>
  </w:style>
  <w:style w:type="character" w:customStyle="1" w:styleId="Char4">
    <w:name w:val="Char4"/>
    <w:semiHidden/>
    <w:rsid w:val="009F7790"/>
    <w:rPr>
      <w:rFonts w:ascii="Times New Roman" w:eastAsia="Times New Roman" w:hAnsi="Times New Roman" w:cs="Times New Roman"/>
      <w:sz w:val="24"/>
      <w:szCs w:val="24"/>
    </w:rPr>
  </w:style>
  <w:style w:type="character" w:customStyle="1" w:styleId="Char5">
    <w:name w:val="Char5"/>
    <w:semiHidden/>
    <w:rsid w:val="009F7790"/>
    <w:rPr>
      <w:rFonts w:eastAsia="Times New Roman"/>
      <w:sz w:val="20"/>
      <w:szCs w:val="20"/>
      <w:lang w:val="fr-BE"/>
    </w:rPr>
  </w:style>
  <w:style w:type="character" w:customStyle="1" w:styleId="Char6">
    <w:name w:val="Char6"/>
    <w:semiHidden/>
    <w:rsid w:val="009F7790"/>
    <w:rPr>
      <w:rFonts w:eastAsia="Times New Roman"/>
      <w:b/>
      <w:bCs/>
      <w:sz w:val="20"/>
      <w:szCs w:val="20"/>
      <w:lang w:val="fr-BE"/>
    </w:rPr>
  </w:style>
  <w:style w:type="character" w:customStyle="1" w:styleId="Char7">
    <w:name w:val="Char7"/>
    <w:semiHidden/>
    <w:rsid w:val="009F7790"/>
    <w:rPr>
      <w:rFonts w:ascii="Times New Roman" w:eastAsia="Times New Roman" w:hAnsi="Times New Roman" w:cs="Times New Roman"/>
      <w:b/>
      <w:bCs/>
      <w:sz w:val="18"/>
      <w:szCs w:val="18"/>
      <w:lang w:val="fr-BE"/>
    </w:rPr>
  </w:style>
  <w:style w:type="paragraph" w:customStyle="1" w:styleId="Default">
    <w:name w:val="Default"/>
    <w:rsid w:val="009F7790"/>
    <w:pPr>
      <w:autoSpaceDE w:val="0"/>
      <w:autoSpaceDN w:val="0"/>
      <w:adjustRightInd w:val="0"/>
      <w:spacing w:after="0" w:line="240" w:lineRule="auto"/>
    </w:pPr>
    <w:rPr>
      <w:rFonts w:ascii="Times New Roman" w:hAnsi="Times New Roman" w:cs="Times New Roman"/>
      <w:color w:val="000000"/>
      <w:sz w:val="24"/>
      <w:szCs w:val="24"/>
    </w:rPr>
  </w:style>
  <w:style w:type="paragraph" w:styleId="Dokumentstruktur">
    <w:name w:val="Document Map"/>
    <w:basedOn w:val="Standard"/>
    <w:link w:val="DokumentstrukturZchn"/>
    <w:semiHidden/>
    <w:rsid w:val="009F7790"/>
    <w:rPr>
      <w:sz w:val="16"/>
      <w:szCs w:val="16"/>
    </w:rPr>
  </w:style>
  <w:style w:type="character" w:customStyle="1" w:styleId="DokumentstrukturZchn">
    <w:name w:val="Dokumentstruktur Zchn"/>
    <w:basedOn w:val="Absatz-Standardschriftart"/>
    <w:link w:val="Dokumentstruktur"/>
    <w:semiHidden/>
    <w:rsid w:val="009F7790"/>
    <w:rPr>
      <w:rFonts w:ascii="Cambria" w:eastAsia="Times New Roman" w:hAnsi="Cambria" w:cs="Times New Roman"/>
      <w:sz w:val="16"/>
      <w:szCs w:val="16"/>
      <w:lang w:val="fr-BE"/>
    </w:rPr>
  </w:style>
  <w:style w:type="numbering" w:customStyle="1" w:styleId="ExecutiveSummary">
    <w:name w:val="Executive Summary"/>
    <w:uiPriority w:val="99"/>
    <w:rsid w:val="009F7790"/>
    <w:pPr>
      <w:numPr>
        <w:numId w:val="8"/>
      </w:numPr>
    </w:pPr>
  </w:style>
  <w:style w:type="paragraph" w:customStyle="1" w:styleId="ExecutiveSummary1">
    <w:name w:val="Executive Summary 1"/>
    <w:basedOn w:val="berschrift1"/>
    <w:next w:val="NumbParag"/>
    <w:rsid w:val="009F7790"/>
    <w:pPr>
      <w:numPr>
        <w:numId w:val="0"/>
      </w:numPr>
    </w:pPr>
  </w:style>
  <w:style w:type="paragraph" w:customStyle="1" w:styleId="ExecutiveSummary11">
    <w:name w:val="Executive Summary 1.1"/>
    <w:basedOn w:val="berschrift2"/>
    <w:next w:val="NumbParag"/>
    <w:rsid w:val="009F7790"/>
    <w:pPr>
      <w:numPr>
        <w:numId w:val="9"/>
      </w:numPr>
    </w:pPr>
  </w:style>
  <w:style w:type="paragraph" w:customStyle="1" w:styleId="ExecutiveSummary111">
    <w:name w:val="Executive Summary 1.1.1"/>
    <w:basedOn w:val="berschrift3"/>
    <w:next w:val="NumbParag"/>
    <w:rsid w:val="009F7790"/>
    <w:pPr>
      <w:numPr>
        <w:numId w:val="9"/>
      </w:numPr>
    </w:pPr>
  </w:style>
  <w:style w:type="paragraph" w:customStyle="1" w:styleId="Figure">
    <w:name w:val="Figure"/>
    <w:basedOn w:val="Standard"/>
    <w:next w:val="Beschriftung"/>
    <w:qFormat/>
    <w:rsid w:val="009F7790"/>
    <w:pPr>
      <w:keepNext/>
      <w:ind w:left="-851" w:right="-897"/>
      <w:jc w:val="center"/>
    </w:pPr>
    <w:rPr>
      <w:noProof/>
    </w:rPr>
  </w:style>
  <w:style w:type="paragraph" w:customStyle="1" w:styleId="FigureIndent">
    <w:name w:val="Figure Indent"/>
    <w:basedOn w:val="Figure"/>
    <w:next w:val="Standard"/>
    <w:rsid w:val="009F7790"/>
    <w:pPr>
      <w:ind w:left="567" w:right="-46"/>
    </w:pPr>
  </w:style>
  <w:style w:type="character" w:customStyle="1" w:styleId="fnChar">
    <w:name w:val="fn Char"/>
    <w:aliases w:val="Footnotes Char,Footnote ak Char,ALTS FOOTNOTE Char,Footnote Text Char Char,footnote text Char"/>
    <w:semiHidden/>
    <w:rsid w:val="009F7790"/>
    <w:rPr>
      <w:rFonts w:ascii="Times New Roman" w:eastAsia="Times New Roman" w:hAnsi="Times New Roman" w:cs="Times New Roman"/>
      <w:sz w:val="20"/>
      <w:szCs w:val="20"/>
    </w:rPr>
  </w:style>
  <w:style w:type="character" w:styleId="BesuchterHyperlink">
    <w:name w:val="FollowedHyperlink"/>
    <w:semiHidden/>
    <w:rsid w:val="009F7790"/>
    <w:rPr>
      <w:color w:val="800080"/>
      <w:u w:val="single"/>
    </w:rPr>
  </w:style>
  <w:style w:type="table" w:customStyle="1" w:styleId="Grilleclaire-Accent11">
    <w:name w:val="Grille claire - Accent 11"/>
    <w:locked/>
    <w:rsid w:val="009F7790"/>
    <w:pPr>
      <w:spacing w:after="0" w:line="240" w:lineRule="auto"/>
    </w:pPr>
    <w:rPr>
      <w:rFonts w:ascii="Times New Roma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HeadPage-TitleMain">
    <w:name w:val="Head Page - Title Main"/>
    <w:basedOn w:val="Standard"/>
    <w:locked/>
    <w:rsid w:val="009F7790"/>
    <w:pPr>
      <w:ind w:left="1418" w:right="1371"/>
      <w:jc w:val="center"/>
    </w:pPr>
    <w:rPr>
      <w:b/>
      <w:bCs/>
      <w:caps/>
      <w:sz w:val="28"/>
      <w:szCs w:val="28"/>
    </w:rPr>
  </w:style>
  <w:style w:type="paragraph" w:customStyle="1" w:styleId="HeadPage-TitleUp">
    <w:name w:val="Head Page - Title Up"/>
    <w:basedOn w:val="Standard"/>
    <w:semiHidden/>
    <w:rsid w:val="009F7790"/>
    <w:pPr>
      <w:spacing w:after="240" w:line="360" w:lineRule="exact"/>
      <w:jc w:val="center"/>
    </w:pPr>
    <w:rPr>
      <w:b/>
      <w:bCs/>
      <w:sz w:val="28"/>
      <w:szCs w:val="28"/>
    </w:rPr>
  </w:style>
  <w:style w:type="character" w:styleId="Hyperlink">
    <w:name w:val="Hyperlink"/>
    <w:uiPriority w:val="99"/>
    <w:rsid w:val="009F7790"/>
    <w:rPr>
      <w:color w:val="0000FF"/>
      <w:u w:val="single"/>
    </w:rPr>
  </w:style>
  <w:style w:type="paragraph" w:styleId="Verzeichnis1">
    <w:name w:val="toc 1"/>
    <w:basedOn w:val="Standard"/>
    <w:next w:val="Standard"/>
    <w:uiPriority w:val="39"/>
    <w:rsid w:val="009F7790"/>
    <w:pPr>
      <w:tabs>
        <w:tab w:val="left" w:pos="567"/>
        <w:tab w:val="right" w:leader="dot" w:pos="9061"/>
      </w:tabs>
      <w:spacing w:before="120" w:after="120"/>
    </w:pPr>
    <w:rPr>
      <w:b/>
      <w:bCs/>
      <w:caps/>
      <w:noProof/>
      <w:sz w:val="20"/>
      <w:szCs w:val="20"/>
    </w:rPr>
  </w:style>
  <w:style w:type="paragraph" w:styleId="Verzeichnis2">
    <w:name w:val="toc 2"/>
    <w:basedOn w:val="Standard"/>
    <w:next w:val="Standard"/>
    <w:uiPriority w:val="39"/>
    <w:rsid w:val="009F7790"/>
    <w:pPr>
      <w:tabs>
        <w:tab w:val="left" w:pos="567"/>
        <w:tab w:val="right" w:leader="dot" w:pos="9061"/>
      </w:tabs>
    </w:pPr>
    <w:rPr>
      <w:smallCaps/>
      <w:noProof/>
      <w:sz w:val="20"/>
      <w:szCs w:val="20"/>
    </w:rPr>
  </w:style>
  <w:style w:type="paragraph" w:styleId="Verzeichnis3">
    <w:name w:val="toc 3"/>
    <w:basedOn w:val="Standard"/>
    <w:next w:val="Standard"/>
    <w:uiPriority w:val="39"/>
    <w:rsid w:val="009F7790"/>
    <w:pPr>
      <w:tabs>
        <w:tab w:val="left" w:pos="1276"/>
        <w:tab w:val="right" w:leader="dot" w:pos="9061"/>
      </w:tabs>
      <w:spacing w:after="120"/>
      <w:ind w:left="567"/>
      <w:contextualSpacing/>
    </w:pPr>
    <w:rPr>
      <w:i/>
      <w:iCs/>
      <w:noProof/>
      <w:sz w:val="20"/>
      <w:szCs w:val="20"/>
    </w:rPr>
  </w:style>
  <w:style w:type="paragraph" w:styleId="Verzeichnis4">
    <w:name w:val="toc 4"/>
    <w:basedOn w:val="Standard"/>
    <w:next w:val="Standard"/>
    <w:semiHidden/>
    <w:rsid w:val="009F7790"/>
    <w:pPr>
      <w:tabs>
        <w:tab w:val="left" w:pos="1680"/>
        <w:tab w:val="right" w:leader="dot" w:pos="9061"/>
      </w:tabs>
      <w:ind w:left="851"/>
    </w:pPr>
    <w:rPr>
      <w:noProof/>
      <w:sz w:val="18"/>
      <w:szCs w:val="18"/>
    </w:rPr>
  </w:style>
  <w:style w:type="character" w:customStyle="1" w:styleId="berschrift4Zchn">
    <w:name w:val="Überschrift 4 Zchn"/>
    <w:aliases w:val="h4 Zchn,h4 Car Zchn,4 Zchn,l4 Zchn,heading4 Zchn,heading Zchn,Header 4 Zchn,Punt 4 Zchn"/>
    <w:basedOn w:val="Absatz-Standardschriftart"/>
    <w:link w:val="berschrift4"/>
    <w:rsid w:val="009F7790"/>
    <w:rPr>
      <w:rFonts w:ascii="Cambria" w:hAnsi="Cambria" w:cs="Times New Roman"/>
      <w:b/>
      <w:i/>
      <w:iCs/>
      <w:color w:val="7CA1CE"/>
      <w:lang w:val="fr-BE"/>
    </w:rPr>
  </w:style>
  <w:style w:type="character" w:customStyle="1" w:styleId="berschrift5Zchn">
    <w:name w:val="Überschrift 5 Zchn"/>
    <w:aliases w:val="heading 5 Zchn,Roman list Zchn,Header 5 Zchn,Punt 5 Zchn"/>
    <w:basedOn w:val="Absatz-Standardschriftart"/>
    <w:link w:val="berschrift5"/>
    <w:rsid w:val="009F7790"/>
    <w:rPr>
      <w:rFonts w:ascii="Cambria" w:hAnsi="Cambria" w:cs="Times New Roman"/>
      <w:b/>
      <w:bCs/>
    </w:rPr>
  </w:style>
  <w:style w:type="character" w:customStyle="1" w:styleId="berschrift6Zchn">
    <w:name w:val="Überschrift 6 Zchn"/>
    <w:basedOn w:val="Absatz-Standardschriftart"/>
    <w:link w:val="berschrift6"/>
    <w:rsid w:val="009F7790"/>
    <w:rPr>
      <w:rFonts w:ascii="Calibri" w:hAnsi="Calibri" w:cs="Times New Roman"/>
      <w:b/>
      <w:bCs/>
      <w:lang w:val="fr-BE"/>
    </w:rPr>
  </w:style>
  <w:style w:type="character" w:customStyle="1" w:styleId="berschrift7Zchn">
    <w:name w:val="Überschrift 7 Zchn"/>
    <w:basedOn w:val="Absatz-Standardschriftart"/>
    <w:link w:val="berschrift7"/>
    <w:rsid w:val="009F7790"/>
    <w:rPr>
      <w:rFonts w:ascii="Calibri" w:hAnsi="Calibri" w:cs="Times New Roman"/>
      <w:sz w:val="24"/>
      <w:lang w:val="fr-BE"/>
    </w:rPr>
  </w:style>
  <w:style w:type="character" w:customStyle="1" w:styleId="berschrift8Zchn">
    <w:name w:val="Überschrift 8 Zchn"/>
    <w:basedOn w:val="Absatz-Standardschriftart"/>
    <w:link w:val="berschrift8"/>
    <w:rsid w:val="009F7790"/>
    <w:rPr>
      <w:rFonts w:ascii="Calibri" w:hAnsi="Calibri" w:cs="Times New Roman"/>
      <w:i/>
      <w:iCs/>
      <w:sz w:val="24"/>
      <w:lang w:val="fr-BE"/>
    </w:rPr>
  </w:style>
  <w:style w:type="character" w:customStyle="1" w:styleId="berschrift9Zchn">
    <w:name w:val="Überschrift 9 Zchn"/>
    <w:basedOn w:val="Absatz-Standardschriftart"/>
    <w:link w:val="berschrift9"/>
    <w:rsid w:val="009F7790"/>
    <w:rPr>
      <w:rFonts w:ascii="Cambria" w:hAnsi="Cambria" w:cs="Times New Roman"/>
      <w:lang w:val="fr-BE"/>
    </w:rPr>
  </w:style>
  <w:style w:type="paragraph" w:styleId="Kopfzeile">
    <w:name w:val="header"/>
    <w:basedOn w:val="Standard"/>
    <w:link w:val="KopfzeileZchn"/>
    <w:semiHidden/>
    <w:rsid w:val="009F7790"/>
    <w:pPr>
      <w:tabs>
        <w:tab w:val="center" w:pos="4536"/>
        <w:tab w:val="right" w:pos="9072"/>
      </w:tabs>
    </w:pPr>
    <w:rPr>
      <w:sz w:val="20"/>
    </w:rPr>
  </w:style>
  <w:style w:type="character" w:customStyle="1" w:styleId="KopfzeileZchn">
    <w:name w:val="Kopfzeile Zchn"/>
    <w:basedOn w:val="Absatz-Standardschriftart"/>
    <w:link w:val="Kopfzeile"/>
    <w:semiHidden/>
    <w:rsid w:val="009F7790"/>
    <w:rPr>
      <w:rFonts w:ascii="Cambria" w:eastAsia="Times New Roman" w:hAnsi="Cambria" w:cs="Times New Roman"/>
      <w:sz w:val="20"/>
      <w:szCs w:val="24"/>
      <w:lang w:val="fr-BE"/>
    </w:rPr>
  </w:style>
  <w:style w:type="paragraph" w:customStyle="1" w:styleId="LgendeIndent">
    <w:name w:val="Légende Indent"/>
    <w:basedOn w:val="Beschriftung"/>
    <w:next w:val="NumbParag"/>
    <w:rsid w:val="009F7790"/>
    <w:pPr>
      <w:ind w:left="567"/>
    </w:pPr>
  </w:style>
  <w:style w:type="paragraph" w:styleId="Aufzhlungszeichen">
    <w:name w:val="List Bullet"/>
    <w:basedOn w:val="Standard"/>
    <w:uiPriority w:val="99"/>
    <w:unhideWhenUsed/>
    <w:rsid w:val="009F7790"/>
    <w:pPr>
      <w:numPr>
        <w:numId w:val="11"/>
      </w:numPr>
      <w:contextualSpacing/>
    </w:pPr>
  </w:style>
  <w:style w:type="paragraph" w:styleId="Listenabsatz">
    <w:name w:val="List Paragraph"/>
    <w:basedOn w:val="Standard"/>
    <w:uiPriority w:val="34"/>
    <w:qFormat/>
    <w:rsid w:val="009F7790"/>
    <w:pPr>
      <w:ind w:left="708"/>
    </w:pPr>
  </w:style>
  <w:style w:type="table" w:customStyle="1" w:styleId="Listeclaire1">
    <w:name w:val="Liste claire1"/>
    <w:basedOn w:val="NormaleTabelle"/>
    <w:uiPriority w:val="61"/>
    <w:rsid w:val="009F7790"/>
    <w:pPr>
      <w:spacing w:after="0" w:line="240" w:lineRule="auto"/>
    </w:pPr>
    <w:rPr>
      <w:rFonts w:ascii="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2">
    <w:name w:val="Liste claire2"/>
    <w:basedOn w:val="NormaleTabelle"/>
    <w:uiPriority w:val="61"/>
    <w:rsid w:val="009F7790"/>
    <w:pPr>
      <w:spacing w:after="0" w:line="240" w:lineRule="auto"/>
    </w:pPr>
    <w:rPr>
      <w:rFonts w:ascii="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ecouleur-Accent11">
    <w:name w:val="Liste couleur - Accent 11"/>
    <w:basedOn w:val="Standard"/>
    <w:uiPriority w:val="34"/>
    <w:semiHidden/>
    <w:qFormat/>
    <w:rsid w:val="009F7790"/>
    <w:pPr>
      <w:ind w:left="708"/>
    </w:pPr>
  </w:style>
  <w:style w:type="paragraph" w:styleId="StandardWeb">
    <w:name w:val="Normal (Web)"/>
    <w:basedOn w:val="Standard"/>
    <w:uiPriority w:val="99"/>
    <w:unhideWhenUsed/>
    <w:rsid w:val="009F7790"/>
    <w:pPr>
      <w:spacing w:before="100" w:after="100" w:line="240" w:lineRule="atLeast"/>
      <w:jc w:val="left"/>
    </w:pPr>
    <w:rPr>
      <w:rFonts w:ascii="Verdana" w:hAnsi="Verdana"/>
      <w:color w:val="000000"/>
      <w:sz w:val="18"/>
      <w:szCs w:val="18"/>
    </w:rPr>
  </w:style>
  <w:style w:type="paragraph" w:customStyle="1" w:styleId="Standaardinspringing1">
    <w:name w:val="Standaardinspringing1"/>
    <w:basedOn w:val="Standard"/>
    <w:qFormat/>
    <w:rsid w:val="009F7790"/>
    <w:pPr>
      <w:ind w:left="709"/>
    </w:pPr>
  </w:style>
  <w:style w:type="paragraph" w:customStyle="1" w:styleId="NormalInterline1x">
    <w:name w:val="Normal Interline 1x"/>
    <w:basedOn w:val="Standard"/>
    <w:rsid w:val="009F7790"/>
    <w:pPr>
      <w:spacing w:after="120"/>
    </w:pPr>
  </w:style>
  <w:style w:type="paragraph" w:customStyle="1" w:styleId="NormalInterline115x">
    <w:name w:val="Normal Interline 1.15x"/>
    <w:basedOn w:val="NormalInterline1x"/>
    <w:rsid w:val="009F7790"/>
    <w:pPr>
      <w:spacing w:line="276" w:lineRule="auto"/>
    </w:pPr>
  </w:style>
  <w:style w:type="paragraph" w:customStyle="1" w:styleId="NormalNS">
    <w:name w:val="Normal NS"/>
    <w:basedOn w:val="Standard"/>
    <w:locked/>
    <w:rsid w:val="009F7790"/>
  </w:style>
  <w:style w:type="paragraph" w:customStyle="1" w:styleId="NormalNSIndent">
    <w:name w:val="Normal NS Indent."/>
    <w:basedOn w:val="NormalNS"/>
    <w:qFormat/>
    <w:rsid w:val="009F7790"/>
    <w:pPr>
      <w:ind w:left="709"/>
    </w:pPr>
  </w:style>
  <w:style w:type="paragraph" w:customStyle="1" w:styleId="NumbParagIndent">
    <w:name w:val="Numb. Parag. Indent"/>
    <w:basedOn w:val="NumbParag"/>
    <w:link w:val="NumbParagIndentChar"/>
    <w:qFormat/>
    <w:rsid w:val="00090503"/>
    <w:pPr>
      <w:numPr>
        <w:numId w:val="0"/>
      </w:numPr>
    </w:pPr>
  </w:style>
  <w:style w:type="paragraph" w:customStyle="1" w:styleId="NumbParagIndentNS">
    <w:name w:val="Numb. Parag. Indent NS"/>
    <w:basedOn w:val="NumbParagIndent"/>
    <w:rsid w:val="009F7790"/>
  </w:style>
  <w:style w:type="paragraph" w:customStyle="1" w:styleId="NumbParagIndentX2">
    <w:name w:val="Numb. Parag. Indent X2"/>
    <w:basedOn w:val="NumbParagIndent"/>
    <w:link w:val="NumbParagIndentX2Char"/>
    <w:rsid w:val="009F7790"/>
    <w:pPr>
      <w:numPr>
        <w:ilvl w:val="2"/>
      </w:numPr>
    </w:pPr>
  </w:style>
  <w:style w:type="paragraph" w:customStyle="1" w:styleId="NumbParagNS">
    <w:name w:val="Numb. Parag. NS"/>
    <w:basedOn w:val="NumbParag"/>
    <w:locked/>
    <w:rsid w:val="009F7790"/>
    <w:pPr>
      <w:numPr>
        <w:numId w:val="0"/>
      </w:numPr>
    </w:pPr>
  </w:style>
  <w:style w:type="paragraph" w:customStyle="1" w:styleId="numbpar1">
    <w:name w:val="numb.par.1"/>
    <w:basedOn w:val="NumbParag"/>
    <w:qFormat/>
    <w:rsid w:val="009F7790"/>
    <w:pPr>
      <w:numPr>
        <w:numId w:val="0"/>
      </w:numPr>
    </w:pPr>
    <w:rPr>
      <w:sz w:val="24"/>
    </w:rPr>
  </w:style>
  <w:style w:type="paragraph" w:customStyle="1" w:styleId="NumbPar2">
    <w:name w:val="Numb.Par.2"/>
    <w:basedOn w:val="NumbParag"/>
    <w:qFormat/>
    <w:rsid w:val="009F7790"/>
    <w:pPr>
      <w:numPr>
        <w:numId w:val="0"/>
      </w:numPr>
      <w:ind w:left="1440" w:hanging="360"/>
    </w:pPr>
    <w:rPr>
      <w:sz w:val="24"/>
    </w:rPr>
  </w:style>
  <w:style w:type="paragraph" w:customStyle="1" w:styleId="Numpar1">
    <w:name w:val="Numpar1"/>
    <w:basedOn w:val="Standard"/>
    <w:uiPriority w:val="99"/>
    <w:qFormat/>
    <w:rsid w:val="009F7790"/>
    <w:pPr>
      <w:tabs>
        <w:tab w:val="num" w:pos="709"/>
      </w:tabs>
      <w:spacing w:before="120" w:after="120"/>
      <w:ind w:left="709" w:hanging="567"/>
    </w:pPr>
    <w:rPr>
      <w:rFonts w:cs="Arial"/>
      <w:noProof/>
      <w:color w:val="000000"/>
      <w:szCs w:val="18"/>
    </w:rPr>
  </w:style>
  <w:style w:type="paragraph" w:customStyle="1" w:styleId="Numpar2">
    <w:name w:val="Numpar2"/>
    <w:basedOn w:val="Standard"/>
    <w:qFormat/>
    <w:rsid w:val="009F7790"/>
    <w:pPr>
      <w:tabs>
        <w:tab w:val="num" w:pos="1134"/>
      </w:tabs>
      <w:spacing w:before="120" w:after="120"/>
      <w:ind w:left="1134" w:hanging="567"/>
    </w:pPr>
    <w:rPr>
      <w:rFonts w:cs="Arial"/>
      <w:color w:val="000000"/>
      <w:szCs w:val="18"/>
    </w:rPr>
  </w:style>
  <w:style w:type="paragraph" w:customStyle="1" w:styleId="Numpar3">
    <w:name w:val="Numpar3"/>
    <w:basedOn w:val="Numpar2"/>
    <w:qFormat/>
    <w:rsid w:val="009F7790"/>
    <w:pPr>
      <w:tabs>
        <w:tab w:val="clear" w:pos="1134"/>
        <w:tab w:val="left" w:pos="1701"/>
      </w:tabs>
      <w:ind w:left="1701"/>
    </w:pPr>
  </w:style>
  <w:style w:type="table" w:customStyle="1" w:styleId="Ombrageclair1">
    <w:name w:val="Ombrage clair1"/>
    <w:basedOn w:val="NormaleTabelle"/>
    <w:uiPriority w:val="60"/>
    <w:rsid w:val="009F7790"/>
    <w:pPr>
      <w:spacing w:after="0" w:line="240" w:lineRule="auto"/>
    </w:pPr>
    <w:rPr>
      <w:rFonts w:ascii="Times New Roman" w:hAnsi="Times New Roman" w:cs="Times New Roman"/>
      <w:color w:val="000000"/>
      <w:sz w:val="20"/>
      <w:szCs w:val="20"/>
    </w:rPr>
    <w:tblPr>
      <w:tblStyleRowBandSize w:val="1"/>
      <w:tblStyleColBandSize w:val="1"/>
      <w:tblInd w:w="680" w:type="dxa"/>
      <w:tblBorders>
        <w:top w:val="single" w:sz="8" w:space="0" w:color="auto"/>
        <w:left w:val="single" w:sz="8" w:space="0" w:color="auto"/>
        <w:bottom w:val="single" w:sz="8" w:space="0" w:color="auto"/>
        <w:right w:val="single" w:sz="8" w:space="0" w:color="auto"/>
      </w:tblBorders>
    </w:tblPr>
    <w:tblStylePr w:type="firstRow">
      <w:pPr>
        <w:spacing w:before="0" w:after="0" w:line="240" w:lineRule="auto"/>
      </w:pPr>
      <w:rPr>
        <w:b/>
        <w:bCs/>
        <w:color w:val="FFFFFF"/>
      </w:rPr>
      <w:tblPr/>
      <w:tcPr>
        <w:shd w:val="clear" w:color="auto" w:fill="595959"/>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right w:val="dashed" w:sz="4" w:space="0" w:color="595959"/>
        </w:tcBorders>
      </w:tcPr>
    </w:tblStylePr>
    <w:tblStylePr w:type="lastCol">
      <w:rPr>
        <w:b/>
        <w:bCs/>
      </w:rPr>
    </w:tblStylePr>
    <w:tblStylePr w:type="band2Horz">
      <w:tblPr/>
      <w:tcPr>
        <w:shd w:val="clear" w:color="auto" w:fill="D9D9D9"/>
      </w:tcPr>
    </w:tblStylePr>
  </w:style>
  <w:style w:type="table" w:customStyle="1" w:styleId="Ombrageclair2">
    <w:name w:val="Ombrage clair2"/>
    <w:basedOn w:val="NormaleTabelle"/>
    <w:uiPriority w:val="60"/>
    <w:rsid w:val="009F7790"/>
    <w:pPr>
      <w:spacing w:after="0" w:line="240" w:lineRule="auto"/>
    </w:pPr>
    <w:rPr>
      <w:rFonts w:ascii="Cambria" w:hAnsi="Cambria" w:cs="Times New Roman"/>
      <w:color w:val="000000"/>
      <w:szCs w:val="20"/>
    </w:rPr>
    <w:tblPr>
      <w:tblStyleRowBandSize w:val="1"/>
      <w:tblStyleColBandSize w:val="1"/>
      <w:tblInd w:w="794" w:type="dxa"/>
      <w:tblBorders>
        <w:top w:val="single" w:sz="8" w:space="0" w:color="auto"/>
        <w:left w:val="single" w:sz="8" w:space="0" w:color="auto"/>
        <w:bottom w:val="single" w:sz="8" w:space="0" w:color="auto"/>
        <w:right w:val="single" w:sz="8" w:space="0" w:color="auto"/>
      </w:tblBorders>
    </w:tblPr>
    <w:tblStylePr w:type="firstRow">
      <w:pPr>
        <w:spacing w:before="0" w:after="0" w:line="240" w:lineRule="auto"/>
      </w:pPr>
      <w:rPr>
        <w:rFonts w:ascii="Cambria" w:hAnsi="Cambria"/>
        <w:b/>
        <w:bCs/>
        <w:color w:val="FFFFFF"/>
        <w:sz w:val="22"/>
      </w:rPr>
      <w:tblPr/>
      <w:tcPr>
        <w:shd w:val="clear" w:color="auto" w:fill="595959"/>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rFonts w:ascii="Cambria" w:hAnsi="Cambria"/>
        <w:b/>
        <w:bCs/>
        <w:sz w:val="22"/>
      </w:rPr>
      <w:tblPr/>
      <w:tcPr>
        <w:tcBorders>
          <w:right w:val="dashed" w:sz="4" w:space="0" w:color="595959"/>
        </w:tcBorders>
      </w:tcPr>
    </w:tblStylePr>
    <w:tblStylePr w:type="lastCol">
      <w:rPr>
        <w:b/>
        <w:bCs/>
      </w:rPr>
    </w:tblStylePr>
    <w:tblStylePr w:type="band2Horz">
      <w:tblPr/>
      <w:tcPr>
        <w:shd w:val="clear" w:color="auto" w:fill="D9D9D9"/>
      </w:tcPr>
    </w:tblStylePr>
  </w:style>
  <w:style w:type="paragraph" w:styleId="Kommentartext">
    <w:name w:val="annotation text"/>
    <w:basedOn w:val="Standard"/>
    <w:link w:val="KommentartextZchn"/>
    <w:uiPriority w:val="99"/>
    <w:semiHidden/>
    <w:rsid w:val="009F7790"/>
    <w:rPr>
      <w:sz w:val="20"/>
      <w:szCs w:val="20"/>
    </w:rPr>
  </w:style>
  <w:style w:type="character" w:customStyle="1" w:styleId="KommentartextZchn">
    <w:name w:val="Kommentartext Zchn"/>
    <w:basedOn w:val="Absatz-Standardschriftart"/>
    <w:link w:val="Kommentartext"/>
    <w:uiPriority w:val="99"/>
    <w:semiHidden/>
    <w:rsid w:val="009F7790"/>
    <w:rPr>
      <w:rFonts w:ascii="Cambria" w:eastAsia="Times New Roman" w:hAnsi="Cambria" w:cs="Times New Roman"/>
      <w:sz w:val="20"/>
      <w:szCs w:val="20"/>
      <w:lang w:val="fr-BE"/>
    </w:rPr>
  </w:style>
  <w:style w:type="paragraph" w:styleId="Kommentarthema">
    <w:name w:val="annotation subject"/>
    <w:basedOn w:val="Kommentartext"/>
    <w:next w:val="Kommentartext"/>
    <w:link w:val="KommentarthemaZchn"/>
    <w:semiHidden/>
    <w:rsid w:val="009F7790"/>
    <w:pPr>
      <w:spacing w:after="360"/>
    </w:pPr>
    <w:rPr>
      <w:b/>
      <w:bCs/>
    </w:rPr>
  </w:style>
  <w:style w:type="character" w:customStyle="1" w:styleId="KommentarthemaZchn">
    <w:name w:val="Kommentarthema Zchn"/>
    <w:basedOn w:val="KommentartextZchn"/>
    <w:link w:val="Kommentarthema"/>
    <w:semiHidden/>
    <w:rsid w:val="009F7790"/>
    <w:rPr>
      <w:rFonts w:ascii="Cambria" w:eastAsia="Times New Roman" w:hAnsi="Cambria" w:cs="Times New Roman"/>
      <w:b/>
      <w:bCs/>
      <w:sz w:val="20"/>
      <w:szCs w:val="20"/>
      <w:lang w:val="fr-BE"/>
    </w:rPr>
  </w:style>
  <w:style w:type="character" w:styleId="Seitenzahl">
    <w:name w:val="page number"/>
    <w:semiHidden/>
    <w:rsid w:val="009F7790"/>
    <w:rPr>
      <w:rFonts w:ascii="Cambria" w:hAnsi="Cambria" w:cs="Times New Roman"/>
      <w:sz w:val="20"/>
      <w:szCs w:val="16"/>
      <w:u w:val="single"/>
    </w:rPr>
  </w:style>
  <w:style w:type="paragraph" w:customStyle="1" w:styleId="Retraitnormal1">
    <w:name w:val="Retrait normal1"/>
    <w:basedOn w:val="Standard"/>
    <w:qFormat/>
    <w:rsid w:val="009F7790"/>
    <w:pPr>
      <w:ind w:left="567"/>
    </w:pPr>
  </w:style>
  <w:style w:type="paragraph" w:customStyle="1" w:styleId="Sous-titreGras">
    <w:name w:val="Sous-titre Gras"/>
    <w:basedOn w:val="Standard"/>
    <w:next w:val="NumbParag"/>
    <w:rsid w:val="009F7790"/>
    <w:pPr>
      <w:keepNext/>
      <w:spacing w:after="120"/>
    </w:pPr>
    <w:rPr>
      <w:b/>
      <w:bCs/>
      <w:color w:val="7CA1CE"/>
    </w:rPr>
  </w:style>
  <w:style w:type="paragraph" w:customStyle="1" w:styleId="Sous-TitreItalic">
    <w:name w:val="Sous-Titre Italic"/>
    <w:basedOn w:val="Standard"/>
    <w:next w:val="NumbParag"/>
    <w:rsid w:val="009F7790"/>
    <w:pPr>
      <w:keepNext/>
      <w:spacing w:after="120"/>
    </w:pPr>
    <w:rPr>
      <w:i/>
      <w:iCs/>
      <w:color w:val="7CA1CE"/>
    </w:rPr>
  </w:style>
  <w:style w:type="paragraph" w:customStyle="1" w:styleId="Sous-TitreUnderline">
    <w:name w:val="Sous-Titre Underline"/>
    <w:basedOn w:val="Standard"/>
    <w:next w:val="NumbParag"/>
    <w:rsid w:val="009F7790"/>
    <w:pPr>
      <w:keepNext/>
      <w:spacing w:after="120"/>
    </w:pPr>
    <w:rPr>
      <w:color w:val="7CA1CE"/>
      <w:u w:val="single"/>
    </w:rPr>
  </w:style>
  <w:style w:type="paragraph" w:customStyle="1" w:styleId="Sous-TitreUIndent">
    <w:name w:val="Sous-Titre U. Indent"/>
    <w:basedOn w:val="Sous-TitreUnderline"/>
    <w:next w:val="NumbParag"/>
    <w:qFormat/>
    <w:rsid w:val="009F7790"/>
    <w:pPr>
      <w:ind w:left="709"/>
    </w:pPr>
  </w:style>
  <w:style w:type="table" w:customStyle="1" w:styleId="Style1">
    <w:name w:val="Style1"/>
    <w:rsid w:val="009F7790"/>
    <w:pPr>
      <w:spacing w:after="0" w:line="240" w:lineRule="auto"/>
    </w:pPr>
    <w:rPr>
      <w:rFonts w:ascii="Times New Roman" w:hAnsi="Times New Roman" w:cs="Times New Roman"/>
      <w:sz w:val="20"/>
      <w:szCs w:val="20"/>
    </w:rPr>
    <w:tblPr>
      <w:tblInd w:w="0" w:type="dxa"/>
      <w:tblCellMar>
        <w:top w:w="0" w:type="dxa"/>
        <w:left w:w="108" w:type="dxa"/>
        <w:bottom w:w="0" w:type="dxa"/>
        <w:right w:w="108" w:type="dxa"/>
      </w:tblCellMar>
    </w:tblPr>
  </w:style>
  <w:style w:type="paragraph" w:styleId="Untertitel">
    <w:name w:val="Subtitle"/>
    <w:basedOn w:val="Standard"/>
    <w:next w:val="Standard"/>
    <w:link w:val="UntertitelZchn"/>
    <w:uiPriority w:val="11"/>
    <w:qFormat/>
    <w:rsid w:val="009F7790"/>
    <w:pPr>
      <w:spacing w:after="60"/>
      <w:jc w:val="center"/>
      <w:outlineLvl w:val="1"/>
    </w:pPr>
    <w:rPr>
      <w:color w:val="7CA1CE"/>
      <w:sz w:val="24"/>
    </w:rPr>
  </w:style>
  <w:style w:type="character" w:customStyle="1" w:styleId="UntertitelZchn">
    <w:name w:val="Untertitel Zchn"/>
    <w:basedOn w:val="Absatz-Standardschriftart"/>
    <w:link w:val="Untertitel"/>
    <w:uiPriority w:val="11"/>
    <w:rsid w:val="009F7790"/>
    <w:rPr>
      <w:rFonts w:ascii="Cambria" w:eastAsia="Times New Roman" w:hAnsi="Cambria" w:cs="Times New Roman"/>
      <w:color w:val="7CA1CE"/>
      <w:sz w:val="24"/>
      <w:szCs w:val="24"/>
      <w:lang w:val="fr-BE"/>
    </w:rPr>
  </w:style>
  <w:style w:type="table" w:styleId="Tabellenraster">
    <w:name w:val="Table Grid"/>
    <w:basedOn w:val="NormaleTabelle"/>
    <w:uiPriority w:val="59"/>
    <w:rsid w:val="009F7790"/>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
    <w:name w:val="Table"/>
    <w:rsid w:val="009F7790"/>
    <w:pPr>
      <w:keepNext/>
      <w:spacing w:after="120"/>
    </w:pPr>
    <w:rPr>
      <w:rFonts w:ascii="Times New Roman" w:hAnsi="Times New Roman" w:cs="Times New Roman"/>
      <w:sz w:val="24"/>
      <w:szCs w:val="24"/>
    </w:rPr>
    <w:tblPr>
      <w:tblInd w:w="9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108" w:type="dxa"/>
        <w:bottom w:w="57" w:type="dxa"/>
        <w:right w:w="108" w:type="dxa"/>
      </w:tblCellMar>
    </w:tblPr>
  </w:style>
  <w:style w:type="character" w:styleId="Platzhaltertext">
    <w:name w:val="Placeholder Text"/>
    <w:basedOn w:val="Absatz-Standardschriftart"/>
    <w:uiPriority w:val="99"/>
    <w:semiHidden/>
    <w:rsid w:val="009F7790"/>
    <w:rPr>
      <w:color w:val="808080"/>
    </w:rPr>
  </w:style>
  <w:style w:type="character" w:customStyle="1" w:styleId="Tekstvantijdelijkeaanduiding1">
    <w:name w:val="Tekst van tijdelijke aanduiding1"/>
    <w:semiHidden/>
    <w:rsid w:val="009F7790"/>
    <w:rPr>
      <w:color w:val="808080"/>
    </w:rPr>
  </w:style>
  <w:style w:type="paragraph" w:styleId="NurText">
    <w:name w:val="Plain Text"/>
    <w:basedOn w:val="Standard"/>
    <w:link w:val="NurTextZchn"/>
    <w:uiPriority w:val="99"/>
    <w:rsid w:val="009F7790"/>
    <w:pPr>
      <w:jc w:val="left"/>
    </w:pPr>
    <w:rPr>
      <w:sz w:val="21"/>
      <w:szCs w:val="21"/>
    </w:rPr>
  </w:style>
  <w:style w:type="character" w:customStyle="1" w:styleId="NurTextZchn">
    <w:name w:val="Nur Text Zchn"/>
    <w:basedOn w:val="Absatz-Standardschriftart"/>
    <w:link w:val="NurText"/>
    <w:uiPriority w:val="99"/>
    <w:rsid w:val="009F7790"/>
    <w:rPr>
      <w:rFonts w:ascii="Cambria" w:eastAsia="Times New Roman" w:hAnsi="Cambria" w:cs="Times New Roman"/>
      <w:sz w:val="21"/>
      <w:szCs w:val="21"/>
      <w:lang w:val="fr-BE"/>
    </w:rPr>
  </w:style>
  <w:style w:type="paragraph" w:customStyle="1" w:styleId="TitleUnreferenced">
    <w:name w:val="Title Unreferenced"/>
    <w:next w:val="Standard"/>
    <w:semiHidden/>
    <w:locked/>
    <w:rsid w:val="009F7790"/>
    <w:pPr>
      <w:spacing w:after="360" w:line="240" w:lineRule="auto"/>
    </w:pPr>
    <w:rPr>
      <w:rFonts w:ascii="Cambria" w:hAnsi="Cambria" w:cs="Times New Roman"/>
      <w:b/>
      <w:bCs/>
      <w:caps/>
      <w:color w:val="365F91"/>
      <w:kern w:val="20"/>
      <w:position w:val="8"/>
      <w:sz w:val="28"/>
      <w:szCs w:val="28"/>
    </w:rPr>
  </w:style>
  <w:style w:type="table" w:customStyle="1" w:styleId="Trameclaire-Accent11">
    <w:name w:val="Trame claire - Accent 11"/>
    <w:locked/>
    <w:rsid w:val="009F7790"/>
    <w:pPr>
      <w:spacing w:after="0" w:line="240" w:lineRule="auto"/>
    </w:pPr>
    <w:rPr>
      <w:rFonts w:ascii="Times New Roma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Kommentarzeichen">
    <w:name w:val="annotation reference"/>
    <w:aliases w:val="Titre 4 Car Char,h4 Car Char,Kop 4 Char1,h4 Char1,Titre 4 Car Char2,h4 Car Char2"/>
    <w:uiPriority w:val="99"/>
    <w:rsid w:val="009F7790"/>
    <w:rPr>
      <w:sz w:val="16"/>
      <w:szCs w:val="16"/>
    </w:rPr>
  </w:style>
  <w:style w:type="character" w:styleId="Funotenzeichen">
    <w:name w:val="footnote reference"/>
    <w:aliases w:val="Ref,de nota al pie,Voetnootmarkering1,Footnote Reference Superscript,Footnote symbol,Times 10 Point,Exposant 3 Point,Appel note de bas de p,PBO Footnote Reference,FR + (Complex) Arial,(Latin) 9 pt,(Complex) 10 pt + (Compl...,Footnote"/>
    <w:uiPriority w:val="99"/>
    <w:qFormat/>
    <w:rsid w:val="009F7790"/>
    <w:rPr>
      <w:vertAlign w:val="superscript"/>
    </w:rPr>
  </w:style>
  <w:style w:type="paragraph" w:styleId="Funotentext">
    <w:name w:val="footnote text"/>
    <w:aliases w:val="fn,Footnotes,Footnote ak,ALTS FOOTNOTE,Footnote Text Char,footnote text,fn cafc,ft Char,fn cafc Char,Char Char, Char Char,ALTS FO"/>
    <w:basedOn w:val="Standard"/>
    <w:link w:val="FunotentextZchn"/>
    <w:uiPriority w:val="99"/>
    <w:rsid w:val="009F7790"/>
    <w:pPr>
      <w:keepNext/>
      <w:spacing w:after="120"/>
    </w:pPr>
    <w:rPr>
      <w:sz w:val="20"/>
      <w:szCs w:val="20"/>
    </w:rPr>
  </w:style>
  <w:style w:type="character" w:customStyle="1" w:styleId="FunotentextZchn">
    <w:name w:val="Fußnotentext Zchn"/>
    <w:aliases w:val="fn Zchn,Footnotes Zchn,Footnote ak Zchn,ALTS FOOTNOTE Zchn,Footnote Text Char Zchn,footnote text Zchn,fn cafc Zchn,ft Char Zchn,fn cafc Char Zchn,Char Char Zchn, Char Char Zchn,ALTS FO Zchn"/>
    <w:basedOn w:val="Absatz-Standardschriftart"/>
    <w:link w:val="Funotentext"/>
    <w:uiPriority w:val="99"/>
    <w:rsid w:val="009F7790"/>
    <w:rPr>
      <w:rFonts w:ascii="Cambria" w:eastAsia="Times New Roman" w:hAnsi="Cambria" w:cs="Times New Roman"/>
      <w:sz w:val="20"/>
      <w:szCs w:val="20"/>
    </w:rPr>
  </w:style>
  <w:style w:type="paragraph" w:styleId="Fuzeile">
    <w:name w:val="footer"/>
    <w:basedOn w:val="Standard"/>
    <w:link w:val="FuzeileZchn"/>
    <w:uiPriority w:val="99"/>
    <w:rsid w:val="009F7790"/>
    <w:pPr>
      <w:tabs>
        <w:tab w:val="center" w:pos="890"/>
        <w:tab w:val="center" w:pos="4536"/>
        <w:tab w:val="right" w:pos="9072"/>
      </w:tabs>
    </w:pPr>
    <w:rPr>
      <w:sz w:val="20"/>
      <w:szCs w:val="20"/>
    </w:rPr>
  </w:style>
  <w:style w:type="character" w:customStyle="1" w:styleId="FuzeileZchn">
    <w:name w:val="Fußzeile Zchn"/>
    <w:basedOn w:val="Absatz-Standardschriftart"/>
    <w:link w:val="Fuzeile"/>
    <w:uiPriority w:val="99"/>
    <w:rsid w:val="009F7790"/>
    <w:rPr>
      <w:rFonts w:ascii="Cambria" w:eastAsia="Times New Roman" w:hAnsi="Cambria" w:cs="Times New Roman"/>
      <w:sz w:val="20"/>
      <w:szCs w:val="20"/>
      <w:lang w:val="fr-BE"/>
    </w:rPr>
  </w:style>
  <w:style w:type="paragraph" w:customStyle="1" w:styleId="wordsection1">
    <w:name w:val="wordsection1"/>
    <w:basedOn w:val="Standard"/>
    <w:uiPriority w:val="99"/>
    <w:rsid w:val="009F7790"/>
    <w:pPr>
      <w:spacing w:before="100" w:beforeAutospacing="1" w:after="100" w:afterAutospacing="1"/>
      <w:jc w:val="left"/>
    </w:pPr>
    <w:rPr>
      <w:rFonts w:eastAsia="Calibri"/>
    </w:rPr>
  </w:style>
  <w:style w:type="paragraph" w:customStyle="1" w:styleId="numpar10">
    <w:name w:val="numpar1"/>
    <w:basedOn w:val="Standard"/>
    <w:rsid w:val="00311247"/>
  </w:style>
  <w:style w:type="paragraph" w:customStyle="1" w:styleId="Opmaakprofiel1">
    <w:name w:val="Opmaakprofiel1"/>
    <w:basedOn w:val="numpar10"/>
    <w:link w:val="Opmaakprofiel1Char"/>
    <w:qFormat/>
    <w:rsid w:val="00311247"/>
    <w:pPr>
      <w:numPr>
        <w:numId w:val="36"/>
      </w:numPr>
      <w:spacing w:before="120" w:after="120" w:line="360" w:lineRule="auto"/>
    </w:pPr>
  </w:style>
  <w:style w:type="paragraph" w:customStyle="1" w:styleId="Opmaakprofiel2">
    <w:name w:val="Opmaakprofiel2"/>
    <w:basedOn w:val="Opmaakprofiel1"/>
    <w:qFormat/>
    <w:rsid w:val="00447D7D"/>
    <w:pPr>
      <w:numPr>
        <w:ilvl w:val="1"/>
      </w:numPr>
    </w:pPr>
  </w:style>
  <w:style w:type="character" w:customStyle="1" w:styleId="Opmaakprofiel1Char">
    <w:name w:val="Opmaakprofiel1 Char"/>
    <w:basedOn w:val="Absatz-Standardschriftart"/>
    <w:link w:val="Opmaakprofiel1"/>
    <w:rsid w:val="00311247"/>
    <w:rPr>
      <w:rFonts w:ascii="Cambria" w:hAnsi="Cambria" w:cs="Times New Roman"/>
    </w:rPr>
  </w:style>
  <w:style w:type="character" w:customStyle="1" w:styleId="NumPar1Car">
    <w:name w:val="NumPar1 Car"/>
    <w:basedOn w:val="Absatz-Standardschriftart"/>
    <w:unhideWhenUsed/>
    <w:locked/>
    <w:rsid w:val="00311247"/>
    <w:rPr>
      <w:rFonts w:asciiTheme="majorHAnsi" w:hAnsiTheme="majorHAnsi"/>
      <w:sz w:val="22"/>
      <w:szCs w:val="22"/>
    </w:rPr>
  </w:style>
  <w:style w:type="paragraph" w:styleId="Inhaltsverzeichnisberschrift">
    <w:name w:val="TOC Heading"/>
    <w:basedOn w:val="berschrift1"/>
    <w:next w:val="Standard"/>
    <w:uiPriority w:val="39"/>
    <w:unhideWhenUsed/>
    <w:qFormat/>
    <w:rsid w:val="00311247"/>
    <w:pPr>
      <w:keepLines/>
      <w:pageBreakBefore w:val="0"/>
      <w:numPr>
        <w:numId w:val="0"/>
      </w:numPr>
      <w:spacing w:after="0" w:line="276" w:lineRule="auto"/>
      <w:jc w:val="left"/>
      <w:outlineLvl w:val="9"/>
    </w:pPr>
    <w:rPr>
      <w:rFonts w:asciiTheme="majorHAnsi" w:eastAsiaTheme="majorEastAsia" w:hAnsiTheme="majorHAnsi" w:cstheme="majorBidi"/>
      <w:caps w:val="0"/>
      <w:noProof w:val="0"/>
      <w:color w:val="365F91" w:themeColor="accent1" w:themeShade="BF"/>
      <w:kern w:val="0"/>
      <w:position w:val="0"/>
    </w:rPr>
  </w:style>
  <w:style w:type="paragraph" w:styleId="berarbeitung">
    <w:name w:val="Revision"/>
    <w:hidden/>
    <w:uiPriority w:val="99"/>
    <w:semiHidden/>
    <w:rsid w:val="00BF1460"/>
    <w:pPr>
      <w:spacing w:after="0" w:line="240" w:lineRule="auto"/>
    </w:pPr>
    <w:rPr>
      <w:rFonts w:ascii="Cambria" w:hAnsi="Cambria" w:cs="Times New Roman"/>
    </w:rPr>
  </w:style>
  <w:style w:type="character" w:customStyle="1" w:styleId="tw4winMark">
    <w:name w:val="tw4winMark"/>
    <w:uiPriority w:val="99"/>
    <w:rsid w:val="00D01BF1"/>
    <w:rPr>
      <w:rFonts w:ascii="Courier New" w:hAnsi="Courier New"/>
      <w:vanish/>
      <w:color w:val="800080"/>
      <w:vertAlign w:val="subscript"/>
    </w:rPr>
  </w:style>
  <w:style w:type="paragraph" w:customStyle="1" w:styleId="Numbpar3">
    <w:name w:val="Numb. par. 3"/>
    <w:basedOn w:val="NumbParagIndentX2"/>
    <w:link w:val="Numbpar3Char"/>
    <w:qFormat/>
    <w:rsid w:val="00A63615"/>
    <w:pPr>
      <w:ind w:left="1843" w:hanging="709"/>
    </w:pPr>
  </w:style>
  <w:style w:type="character" w:customStyle="1" w:styleId="NumbParagChar">
    <w:name w:val="Numb. Parag. Char"/>
    <w:basedOn w:val="Absatz-Standardschriftart"/>
    <w:link w:val="NumbParag"/>
    <w:rsid w:val="00300B59"/>
    <w:rPr>
      <w:rFonts w:ascii="Cambria" w:hAnsi="Cambria" w:cs="Times New Roman"/>
      <w:noProof/>
    </w:rPr>
  </w:style>
  <w:style w:type="character" w:customStyle="1" w:styleId="NumbParagIndentChar">
    <w:name w:val="Numb. Parag. Indent Char"/>
    <w:basedOn w:val="NumbParagChar"/>
    <w:link w:val="NumbParagIndent"/>
    <w:rsid w:val="00090503"/>
    <w:rPr>
      <w:rFonts w:ascii="Cambria" w:hAnsi="Cambria" w:cs="Times New Roman"/>
      <w:noProof/>
    </w:rPr>
  </w:style>
  <w:style w:type="character" w:customStyle="1" w:styleId="NumbParagIndentX2Char">
    <w:name w:val="Numb. Parag. Indent X2 Char"/>
    <w:basedOn w:val="NumbParagIndentChar"/>
    <w:link w:val="NumbParagIndentX2"/>
    <w:rsid w:val="00394159"/>
    <w:rPr>
      <w:rFonts w:ascii="Cambria" w:hAnsi="Cambria" w:cs="Times New Roman"/>
      <w:noProof/>
      <w:lang w:val="fr-BE"/>
    </w:rPr>
  </w:style>
  <w:style w:type="character" w:customStyle="1" w:styleId="Numbpar3Char">
    <w:name w:val="Numb. par. 3 Char"/>
    <w:basedOn w:val="NumbParagIndentX2Char"/>
    <w:link w:val="Numbpar3"/>
    <w:rsid w:val="00A63615"/>
    <w:rPr>
      <w:rFonts w:ascii="Cambria" w:hAnsi="Cambria" w:cs="Times New Roman"/>
      <w:noProof/>
      <w:lang w:val="fr-BE"/>
    </w:rPr>
  </w:style>
  <w:style w:type="paragraph" w:customStyle="1" w:styleId="StyleCentr">
    <w:name w:val="Style Centré"/>
    <w:basedOn w:val="Standard"/>
    <w:rsid w:val="00287337"/>
    <w:pPr>
      <w:jc w:val="center"/>
    </w:pPr>
    <w:rPr>
      <w:rFonts w:ascii="Times New Roman" w:hAnsi="Times New Roman"/>
      <w:b/>
      <w:bCs/>
      <w:snapToGrid w:val="0"/>
      <w:sz w:val="28"/>
      <w:szCs w:val="28"/>
    </w:rPr>
  </w:style>
  <w:style w:type="character" w:customStyle="1" w:styleId="st">
    <w:name w:val="st"/>
    <w:basedOn w:val="Absatz-Standardschriftart"/>
    <w:rsid w:val="001F0762"/>
  </w:style>
  <w:style w:type="paragraph" w:styleId="Textkrper">
    <w:name w:val="Body Text"/>
    <w:basedOn w:val="Standard"/>
    <w:link w:val="TextkrperZchn"/>
    <w:rsid w:val="00222F4D"/>
    <w:pPr>
      <w:spacing w:before="120" w:after="120"/>
    </w:pPr>
    <w:rPr>
      <w:rFonts w:ascii="Arial" w:hAnsi="Arial"/>
      <w:snapToGrid w:val="0"/>
      <w:sz w:val="20"/>
      <w:szCs w:val="20"/>
    </w:rPr>
  </w:style>
  <w:style w:type="character" w:customStyle="1" w:styleId="TextkrperZchn">
    <w:name w:val="Textkörper Zchn"/>
    <w:basedOn w:val="Absatz-Standardschriftart"/>
    <w:link w:val="Textkrper"/>
    <w:rsid w:val="00222F4D"/>
    <w:rPr>
      <w:rFonts w:ascii="Arial" w:hAnsi="Arial" w:cs="Times New Roman"/>
      <w:snapToGrid w:val="0"/>
      <w:sz w:val="20"/>
      <w:szCs w:val="20"/>
      <w:lang w:val="fr-BE"/>
    </w:rPr>
  </w:style>
  <w:style w:type="numbering" w:customStyle="1" w:styleId="Paragraphes">
    <w:name w:val="Paragraphes"/>
    <w:rsid w:val="00BC40E4"/>
  </w:style>
  <w:style w:type="table" w:customStyle="1" w:styleId="LightList-Accent11">
    <w:name w:val="Light List - Accent 11"/>
    <w:basedOn w:val="NormaleTabelle"/>
    <w:uiPriority w:val="61"/>
    <w:rsid w:val="00DE6B5F"/>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rsid w:val="009D5058"/>
  </w:style>
  <w:style w:type="paragraph" w:styleId="KeinLeerraum">
    <w:name w:val="No Spacing"/>
    <w:uiPriority w:val="1"/>
    <w:qFormat/>
    <w:rsid w:val="009D5058"/>
    <w:pPr>
      <w:keepLines/>
      <w:spacing w:after="0" w:line="240" w:lineRule="auto"/>
      <w:jc w:val="both"/>
    </w:pPr>
    <w:rPr>
      <w:rFonts w:ascii="Cambria" w:hAnsi="Cambria" w:cs="Times New Roman"/>
      <w:snapToGrid w:val="0"/>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979">
      <w:bodyDiv w:val="1"/>
      <w:marLeft w:val="0"/>
      <w:marRight w:val="0"/>
      <w:marTop w:val="0"/>
      <w:marBottom w:val="0"/>
      <w:divBdr>
        <w:top w:val="none" w:sz="0" w:space="0" w:color="auto"/>
        <w:left w:val="none" w:sz="0" w:space="0" w:color="auto"/>
        <w:bottom w:val="none" w:sz="0" w:space="0" w:color="auto"/>
        <w:right w:val="none" w:sz="0" w:space="0" w:color="auto"/>
      </w:divBdr>
    </w:div>
    <w:div w:id="43139763">
      <w:bodyDiv w:val="1"/>
      <w:marLeft w:val="0"/>
      <w:marRight w:val="0"/>
      <w:marTop w:val="0"/>
      <w:marBottom w:val="0"/>
      <w:divBdr>
        <w:top w:val="none" w:sz="0" w:space="0" w:color="auto"/>
        <w:left w:val="none" w:sz="0" w:space="0" w:color="auto"/>
        <w:bottom w:val="none" w:sz="0" w:space="0" w:color="auto"/>
        <w:right w:val="none" w:sz="0" w:space="0" w:color="auto"/>
      </w:divBdr>
    </w:div>
    <w:div w:id="63183818">
      <w:bodyDiv w:val="1"/>
      <w:marLeft w:val="0"/>
      <w:marRight w:val="0"/>
      <w:marTop w:val="0"/>
      <w:marBottom w:val="0"/>
      <w:divBdr>
        <w:top w:val="none" w:sz="0" w:space="0" w:color="auto"/>
        <w:left w:val="none" w:sz="0" w:space="0" w:color="auto"/>
        <w:bottom w:val="none" w:sz="0" w:space="0" w:color="auto"/>
        <w:right w:val="none" w:sz="0" w:space="0" w:color="auto"/>
      </w:divBdr>
    </w:div>
    <w:div w:id="141889470">
      <w:bodyDiv w:val="1"/>
      <w:marLeft w:val="0"/>
      <w:marRight w:val="0"/>
      <w:marTop w:val="0"/>
      <w:marBottom w:val="0"/>
      <w:divBdr>
        <w:top w:val="none" w:sz="0" w:space="0" w:color="auto"/>
        <w:left w:val="none" w:sz="0" w:space="0" w:color="auto"/>
        <w:bottom w:val="none" w:sz="0" w:space="0" w:color="auto"/>
        <w:right w:val="none" w:sz="0" w:space="0" w:color="auto"/>
      </w:divBdr>
    </w:div>
    <w:div w:id="168638910">
      <w:bodyDiv w:val="1"/>
      <w:marLeft w:val="0"/>
      <w:marRight w:val="0"/>
      <w:marTop w:val="0"/>
      <w:marBottom w:val="0"/>
      <w:divBdr>
        <w:top w:val="none" w:sz="0" w:space="0" w:color="auto"/>
        <w:left w:val="none" w:sz="0" w:space="0" w:color="auto"/>
        <w:bottom w:val="none" w:sz="0" w:space="0" w:color="auto"/>
        <w:right w:val="none" w:sz="0" w:space="0" w:color="auto"/>
      </w:divBdr>
    </w:div>
    <w:div w:id="211431376">
      <w:bodyDiv w:val="1"/>
      <w:marLeft w:val="0"/>
      <w:marRight w:val="0"/>
      <w:marTop w:val="0"/>
      <w:marBottom w:val="0"/>
      <w:divBdr>
        <w:top w:val="none" w:sz="0" w:space="0" w:color="auto"/>
        <w:left w:val="none" w:sz="0" w:space="0" w:color="auto"/>
        <w:bottom w:val="none" w:sz="0" w:space="0" w:color="auto"/>
        <w:right w:val="none" w:sz="0" w:space="0" w:color="auto"/>
      </w:divBdr>
    </w:div>
    <w:div w:id="284702746">
      <w:bodyDiv w:val="1"/>
      <w:marLeft w:val="0"/>
      <w:marRight w:val="0"/>
      <w:marTop w:val="0"/>
      <w:marBottom w:val="0"/>
      <w:divBdr>
        <w:top w:val="none" w:sz="0" w:space="0" w:color="auto"/>
        <w:left w:val="none" w:sz="0" w:space="0" w:color="auto"/>
        <w:bottom w:val="none" w:sz="0" w:space="0" w:color="auto"/>
        <w:right w:val="none" w:sz="0" w:space="0" w:color="auto"/>
      </w:divBdr>
    </w:div>
    <w:div w:id="311065574">
      <w:bodyDiv w:val="1"/>
      <w:marLeft w:val="0"/>
      <w:marRight w:val="0"/>
      <w:marTop w:val="0"/>
      <w:marBottom w:val="0"/>
      <w:divBdr>
        <w:top w:val="none" w:sz="0" w:space="0" w:color="auto"/>
        <w:left w:val="none" w:sz="0" w:space="0" w:color="auto"/>
        <w:bottom w:val="none" w:sz="0" w:space="0" w:color="auto"/>
        <w:right w:val="none" w:sz="0" w:space="0" w:color="auto"/>
      </w:divBdr>
    </w:div>
    <w:div w:id="341324230">
      <w:bodyDiv w:val="1"/>
      <w:marLeft w:val="0"/>
      <w:marRight w:val="0"/>
      <w:marTop w:val="0"/>
      <w:marBottom w:val="0"/>
      <w:divBdr>
        <w:top w:val="none" w:sz="0" w:space="0" w:color="auto"/>
        <w:left w:val="none" w:sz="0" w:space="0" w:color="auto"/>
        <w:bottom w:val="none" w:sz="0" w:space="0" w:color="auto"/>
        <w:right w:val="none" w:sz="0" w:space="0" w:color="auto"/>
      </w:divBdr>
    </w:div>
    <w:div w:id="390081415">
      <w:bodyDiv w:val="1"/>
      <w:marLeft w:val="0"/>
      <w:marRight w:val="0"/>
      <w:marTop w:val="0"/>
      <w:marBottom w:val="0"/>
      <w:divBdr>
        <w:top w:val="none" w:sz="0" w:space="0" w:color="auto"/>
        <w:left w:val="none" w:sz="0" w:space="0" w:color="auto"/>
        <w:bottom w:val="none" w:sz="0" w:space="0" w:color="auto"/>
        <w:right w:val="none" w:sz="0" w:space="0" w:color="auto"/>
      </w:divBdr>
    </w:div>
    <w:div w:id="408355044">
      <w:bodyDiv w:val="1"/>
      <w:marLeft w:val="0"/>
      <w:marRight w:val="0"/>
      <w:marTop w:val="0"/>
      <w:marBottom w:val="0"/>
      <w:divBdr>
        <w:top w:val="none" w:sz="0" w:space="0" w:color="auto"/>
        <w:left w:val="none" w:sz="0" w:space="0" w:color="auto"/>
        <w:bottom w:val="none" w:sz="0" w:space="0" w:color="auto"/>
        <w:right w:val="none" w:sz="0" w:space="0" w:color="auto"/>
      </w:divBdr>
      <w:divsChild>
        <w:div w:id="612398406">
          <w:marLeft w:val="0"/>
          <w:marRight w:val="0"/>
          <w:marTop w:val="0"/>
          <w:marBottom w:val="0"/>
          <w:divBdr>
            <w:top w:val="none" w:sz="0" w:space="0" w:color="auto"/>
            <w:left w:val="none" w:sz="0" w:space="0" w:color="auto"/>
            <w:bottom w:val="none" w:sz="0" w:space="0" w:color="auto"/>
            <w:right w:val="none" w:sz="0" w:space="0" w:color="auto"/>
          </w:divBdr>
        </w:div>
      </w:divsChild>
    </w:div>
    <w:div w:id="421755906">
      <w:bodyDiv w:val="1"/>
      <w:marLeft w:val="0"/>
      <w:marRight w:val="0"/>
      <w:marTop w:val="0"/>
      <w:marBottom w:val="0"/>
      <w:divBdr>
        <w:top w:val="none" w:sz="0" w:space="0" w:color="auto"/>
        <w:left w:val="none" w:sz="0" w:space="0" w:color="auto"/>
        <w:bottom w:val="none" w:sz="0" w:space="0" w:color="auto"/>
        <w:right w:val="none" w:sz="0" w:space="0" w:color="auto"/>
      </w:divBdr>
    </w:div>
    <w:div w:id="476722481">
      <w:bodyDiv w:val="1"/>
      <w:marLeft w:val="0"/>
      <w:marRight w:val="0"/>
      <w:marTop w:val="0"/>
      <w:marBottom w:val="0"/>
      <w:divBdr>
        <w:top w:val="none" w:sz="0" w:space="0" w:color="auto"/>
        <w:left w:val="none" w:sz="0" w:space="0" w:color="auto"/>
        <w:bottom w:val="none" w:sz="0" w:space="0" w:color="auto"/>
        <w:right w:val="none" w:sz="0" w:space="0" w:color="auto"/>
      </w:divBdr>
    </w:div>
    <w:div w:id="512499382">
      <w:bodyDiv w:val="1"/>
      <w:marLeft w:val="0"/>
      <w:marRight w:val="0"/>
      <w:marTop w:val="0"/>
      <w:marBottom w:val="0"/>
      <w:divBdr>
        <w:top w:val="none" w:sz="0" w:space="0" w:color="auto"/>
        <w:left w:val="none" w:sz="0" w:space="0" w:color="auto"/>
        <w:bottom w:val="none" w:sz="0" w:space="0" w:color="auto"/>
        <w:right w:val="none" w:sz="0" w:space="0" w:color="auto"/>
      </w:divBdr>
    </w:div>
    <w:div w:id="536965720">
      <w:bodyDiv w:val="1"/>
      <w:marLeft w:val="0"/>
      <w:marRight w:val="0"/>
      <w:marTop w:val="0"/>
      <w:marBottom w:val="0"/>
      <w:divBdr>
        <w:top w:val="none" w:sz="0" w:space="0" w:color="auto"/>
        <w:left w:val="none" w:sz="0" w:space="0" w:color="auto"/>
        <w:bottom w:val="none" w:sz="0" w:space="0" w:color="auto"/>
        <w:right w:val="none" w:sz="0" w:space="0" w:color="auto"/>
      </w:divBdr>
    </w:div>
    <w:div w:id="578100127">
      <w:bodyDiv w:val="1"/>
      <w:marLeft w:val="0"/>
      <w:marRight w:val="0"/>
      <w:marTop w:val="0"/>
      <w:marBottom w:val="0"/>
      <w:divBdr>
        <w:top w:val="none" w:sz="0" w:space="0" w:color="auto"/>
        <w:left w:val="none" w:sz="0" w:space="0" w:color="auto"/>
        <w:bottom w:val="none" w:sz="0" w:space="0" w:color="auto"/>
        <w:right w:val="none" w:sz="0" w:space="0" w:color="auto"/>
      </w:divBdr>
    </w:div>
    <w:div w:id="612786238">
      <w:bodyDiv w:val="1"/>
      <w:marLeft w:val="0"/>
      <w:marRight w:val="0"/>
      <w:marTop w:val="0"/>
      <w:marBottom w:val="0"/>
      <w:divBdr>
        <w:top w:val="none" w:sz="0" w:space="0" w:color="auto"/>
        <w:left w:val="none" w:sz="0" w:space="0" w:color="auto"/>
        <w:bottom w:val="none" w:sz="0" w:space="0" w:color="auto"/>
        <w:right w:val="none" w:sz="0" w:space="0" w:color="auto"/>
      </w:divBdr>
    </w:div>
    <w:div w:id="614599564">
      <w:bodyDiv w:val="1"/>
      <w:marLeft w:val="0"/>
      <w:marRight w:val="0"/>
      <w:marTop w:val="0"/>
      <w:marBottom w:val="0"/>
      <w:divBdr>
        <w:top w:val="none" w:sz="0" w:space="0" w:color="auto"/>
        <w:left w:val="none" w:sz="0" w:space="0" w:color="auto"/>
        <w:bottom w:val="none" w:sz="0" w:space="0" w:color="auto"/>
        <w:right w:val="none" w:sz="0" w:space="0" w:color="auto"/>
      </w:divBdr>
    </w:div>
    <w:div w:id="622999727">
      <w:bodyDiv w:val="1"/>
      <w:marLeft w:val="0"/>
      <w:marRight w:val="0"/>
      <w:marTop w:val="0"/>
      <w:marBottom w:val="0"/>
      <w:divBdr>
        <w:top w:val="none" w:sz="0" w:space="0" w:color="auto"/>
        <w:left w:val="none" w:sz="0" w:space="0" w:color="auto"/>
        <w:bottom w:val="none" w:sz="0" w:space="0" w:color="auto"/>
        <w:right w:val="none" w:sz="0" w:space="0" w:color="auto"/>
      </w:divBdr>
    </w:div>
    <w:div w:id="631599897">
      <w:bodyDiv w:val="1"/>
      <w:marLeft w:val="0"/>
      <w:marRight w:val="0"/>
      <w:marTop w:val="0"/>
      <w:marBottom w:val="0"/>
      <w:divBdr>
        <w:top w:val="none" w:sz="0" w:space="0" w:color="auto"/>
        <w:left w:val="none" w:sz="0" w:space="0" w:color="auto"/>
        <w:bottom w:val="none" w:sz="0" w:space="0" w:color="auto"/>
        <w:right w:val="none" w:sz="0" w:space="0" w:color="auto"/>
      </w:divBdr>
      <w:divsChild>
        <w:div w:id="294679488">
          <w:marLeft w:val="0"/>
          <w:marRight w:val="0"/>
          <w:marTop w:val="0"/>
          <w:marBottom w:val="0"/>
          <w:divBdr>
            <w:top w:val="none" w:sz="0" w:space="0" w:color="auto"/>
            <w:left w:val="none" w:sz="0" w:space="0" w:color="auto"/>
            <w:bottom w:val="none" w:sz="0" w:space="0" w:color="auto"/>
            <w:right w:val="none" w:sz="0" w:space="0" w:color="auto"/>
          </w:divBdr>
        </w:div>
      </w:divsChild>
    </w:div>
    <w:div w:id="641620383">
      <w:bodyDiv w:val="1"/>
      <w:marLeft w:val="0"/>
      <w:marRight w:val="0"/>
      <w:marTop w:val="0"/>
      <w:marBottom w:val="0"/>
      <w:divBdr>
        <w:top w:val="none" w:sz="0" w:space="0" w:color="auto"/>
        <w:left w:val="none" w:sz="0" w:space="0" w:color="auto"/>
        <w:bottom w:val="none" w:sz="0" w:space="0" w:color="auto"/>
        <w:right w:val="none" w:sz="0" w:space="0" w:color="auto"/>
      </w:divBdr>
    </w:div>
    <w:div w:id="685593858">
      <w:bodyDiv w:val="1"/>
      <w:marLeft w:val="0"/>
      <w:marRight w:val="0"/>
      <w:marTop w:val="0"/>
      <w:marBottom w:val="0"/>
      <w:divBdr>
        <w:top w:val="none" w:sz="0" w:space="0" w:color="auto"/>
        <w:left w:val="none" w:sz="0" w:space="0" w:color="auto"/>
        <w:bottom w:val="none" w:sz="0" w:space="0" w:color="auto"/>
        <w:right w:val="none" w:sz="0" w:space="0" w:color="auto"/>
      </w:divBdr>
    </w:div>
    <w:div w:id="687366909">
      <w:bodyDiv w:val="1"/>
      <w:marLeft w:val="0"/>
      <w:marRight w:val="0"/>
      <w:marTop w:val="0"/>
      <w:marBottom w:val="0"/>
      <w:divBdr>
        <w:top w:val="none" w:sz="0" w:space="0" w:color="auto"/>
        <w:left w:val="none" w:sz="0" w:space="0" w:color="auto"/>
        <w:bottom w:val="none" w:sz="0" w:space="0" w:color="auto"/>
        <w:right w:val="none" w:sz="0" w:space="0" w:color="auto"/>
      </w:divBdr>
    </w:div>
    <w:div w:id="719669119">
      <w:bodyDiv w:val="1"/>
      <w:marLeft w:val="0"/>
      <w:marRight w:val="0"/>
      <w:marTop w:val="0"/>
      <w:marBottom w:val="0"/>
      <w:divBdr>
        <w:top w:val="none" w:sz="0" w:space="0" w:color="auto"/>
        <w:left w:val="none" w:sz="0" w:space="0" w:color="auto"/>
        <w:bottom w:val="none" w:sz="0" w:space="0" w:color="auto"/>
        <w:right w:val="none" w:sz="0" w:space="0" w:color="auto"/>
      </w:divBdr>
    </w:div>
    <w:div w:id="734165054">
      <w:bodyDiv w:val="1"/>
      <w:marLeft w:val="0"/>
      <w:marRight w:val="0"/>
      <w:marTop w:val="0"/>
      <w:marBottom w:val="0"/>
      <w:divBdr>
        <w:top w:val="none" w:sz="0" w:space="0" w:color="auto"/>
        <w:left w:val="none" w:sz="0" w:space="0" w:color="auto"/>
        <w:bottom w:val="none" w:sz="0" w:space="0" w:color="auto"/>
        <w:right w:val="none" w:sz="0" w:space="0" w:color="auto"/>
      </w:divBdr>
    </w:div>
    <w:div w:id="760834551">
      <w:bodyDiv w:val="1"/>
      <w:marLeft w:val="0"/>
      <w:marRight w:val="0"/>
      <w:marTop w:val="0"/>
      <w:marBottom w:val="0"/>
      <w:divBdr>
        <w:top w:val="none" w:sz="0" w:space="0" w:color="auto"/>
        <w:left w:val="none" w:sz="0" w:space="0" w:color="auto"/>
        <w:bottom w:val="none" w:sz="0" w:space="0" w:color="auto"/>
        <w:right w:val="none" w:sz="0" w:space="0" w:color="auto"/>
      </w:divBdr>
    </w:div>
    <w:div w:id="771976027">
      <w:bodyDiv w:val="1"/>
      <w:marLeft w:val="0"/>
      <w:marRight w:val="0"/>
      <w:marTop w:val="0"/>
      <w:marBottom w:val="0"/>
      <w:divBdr>
        <w:top w:val="none" w:sz="0" w:space="0" w:color="auto"/>
        <w:left w:val="none" w:sz="0" w:space="0" w:color="auto"/>
        <w:bottom w:val="none" w:sz="0" w:space="0" w:color="auto"/>
        <w:right w:val="none" w:sz="0" w:space="0" w:color="auto"/>
      </w:divBdr>
    </w:div>
    <w:div w:id="859002712">
      <w:bodyDiv w:val="1"/>
      <w:marLeft w:val="0"/>
      <w:marRight w:val="0"/>
      <w:marTop w:val="0"/>
      <w:marBottom w:val="0"/>
      <w:divBdr>
        <w:top w:val="none" w:sz="0" w:space="0" w:color="auto"/>
        <w:left w:val="none" w:sz="0" w:space="0" w:color="auto"/>
        <w:bottom w:val="none" w:sz="0" w:space="0" w:color="auto"/>
        <w:right w:val="none" w:sz="0" w:space="0" w:color="auto"/>
      </w:divBdr>
    </w:div>
    <w:div w:id="862477163">
      <w:bodyDiv w:val="1"/>
      <w:marLeft w:val="0"/>
      <w:marRight w:val="0"/>
      <w:marTop w:val="0"/>
      <w:marBottom w:val="0"/>
      <w:divBdr>
        <w:top w:val="none" w:sz="0" w:space="0" w:color="auto"/>
        <w:left w:val="none" w:sz="0" w:space="0" w:color="auto"/>
        <w:bottom w:val="none" w:sz="0" w:space="0" w:color="auto"/>
        <w:right w:val="none" w:sz="0" w:space="0" w:color="auto"/>
      </w:divBdr>
    </w:div>
    <w:div w:id="865363999">
      <w:bodyDiv w:val="1"/>
      <w:marLeft w:val="0"/>
      <w:marRight w:val="0"/>
      <w:marTop w:val="0"/>
      <w:marBottom w:val="0"/>
      <w:divBdr>
        <w:top w:val="none" w:sz="0" w:space="0" w:color="auto"/>
        <w:left w:val="none" w:sz="0" w:space="0" w:color="auto"/>
        <w:bottom w:val="none" w:sz="0" w:space="0" w:color="auto"/>
        <w:right w:val="none" w:sz="0" w:space="0" w:color="auto"/>
      </w:divBdr>
    </w:div>
    <w:div w:id="878934530">
      <w:bodyDiv w:val="1"/>
      <w:marLeft w:val="0"/>
      <w:marRight w:val="0"/>
      <w:marTop w:val="0"/>
      <w:marBottom w:val="0"/>
      <w:divBdr>
        <w:top w:val="none" w:sz="0" w:space="0" w:color="auto"/>
        <w:left w:val="none" w:sz="0" w:space="0" w:color="auto"/>
        <w:bottom w:val="none" w:sz="0" w:space="0" w:color="auto"/>
        <w:right w:val="none" w:sz="0" w:space="0" w:color="auto"/>
      </w:divBdr>
    </w:div>
    <w:div w:id="912786570">
      <w:bodyDiv w:val="1"/>
      <w:marLeft w:val="0"/>
      <w:marRight w:val="0"/>
      <w:marTop w:val="0"/>
      <w:marBottom w:val="0"/>
      <w:divBdr>
        <w:top w:val="none" w:sz="0" w:space="0" w:color="auto"/>
        <w:left w:val="none" w:sz="0" w:space="0" w:color="auto"/>
        <w:bottom w:val="none" w:sz="0" w:space="0" w:color="auto"/>
        <w:right w:val="none" w:sz="0" w:space="0" w:color="auto"/>
      </w:divBdr>
    </w:div>
    <w:div w:id="917440512">
      <w:bodyDiv w:val="1"/>
      <w:marLeft w:val="0"/>
      <w:marRight w:val="0"/>
      <w:marTop w:val="0"/>
      <w:marBottom w:val="0"/>
      <w:divBdr>
        <w:top w:val="none" w:sz="0" w:space="0" w:color="auto"/>
        <w:left w:val="none" w:sz="0" w:space="0" w:color="auto"/>
        <w:bottom w:val="none" w:sz="0" w:space="0" w:color="auto"/>
        <w:right w:val="none" w:sz="0" w:space="0" w:color="auto"/>
      </w:divBdr>
    </w:div>
    <w:div w:id="926887608">
      <w:bodyDiv w:val="1"/>
      <w:marLeft w:val="0"/>
      <w:marRight w:val="0"/>
      <w:marTop w:val="0"/>
      <w:marBottom w:val="0"/>
      <w:divBdr>
        <w:top w:val="none" w:sz="0" w:space="0" w:color="auto"/>
        <w:left w:val="none" w:sz="0" w:space="0" w:color="auto"/>
        <w:bottom w:val="none" w:sz="0" w:space="0" w:color="auto"/>
        <w:right w:val="none" w:sz="0" w:space="0" w:color="auto"/>
      </w:divBdr>
      <w:divsChild>
        <w:div w:id="1544630427">
          <w:marLeft w:val="0"/>
          <w:marRight w:val="0"/>
          <w:marTop w:val="0"/>
          <w:marBottom w:val="0"/>
          <w:divBdr>
            <w:top w:val="none" w:sz="0" w:space="0" w:color="auto"/>
            <w:left w:val="none" w:sz="0" w:space="0" w:color="auto"/>
            <w:bottom w:val="none" w:sz="0" w:space="0" w:color="auto"/>
            <w:right w:val="none" w:sz="0" w:space="0" w:color="auto"/>
          </w:divBdr>
          <w:divsChild>
            <w:div w:id="1093819057">
              <w:marLeft w:val="0"/>
              <w:marRight w:val="0"/>
              <w:marTop w:val="0"/>
              <w:marBottom w:val="40"/>
              <w:divBdr>
                <w:top w:val="none" w:sz="0" w:space="0" w:color="auto"/>
                <w:left w:val="none" w:sz="0" w:space="0" w:color="auto"/>
                <w:bottom w:val="none" w:sz="0" w:space="0" w:color="auto"/>
                <w:right w:val="none" w:sz="0" w:space="0" w:color="auto"/>
              </w:divBdr>
            </w:div>
            <w:div w:id="1238326474">
              <w:marLeft w:val="0"/>
              <w:marRight w:val="0"/>
              <w:marTop w:val="0"/>
              <w:marBottom w:val="40"/>
              <w:divBdr>
                <w:top w:val="none" w:sz="0" w:space="0" w:color="auto"/>
                <w:left w:val="none" w:sz="0" w:space="0" w:color="auto"/>
                <w:bottom w:val="none" w:sz="0" w:space="0" w:color="auto"/>
                <w:right w:val="none" w:sz="0" w:space="0" w:color="auto"/>
              </w:divBdr>
            </w:div>
            <w:div w:id="1343892769">
              <w:marLeft w:val="0"/>
              <w:marRight w:val="0"/>
              <w:marTop w:val="0"/>
              <w:marBottom w:val="40"/>
              <w:divBdr>
                <w:top w:val="none" w:sz="0" w:space="0" w:color="auto"/>
                <w:left w:val="none" w:sz="0" w:space="0" w:color="auto"/>
                <w:bottom w:val="none" w:sz="0" w:space="0" w:color="auto"/>
                <w:right w:val="none" w:sz="0" w:space="0" w:color="auto"/>
              </w:divBdr>
            </w:div>
          </w:divsChild>
        </w:div>
      </w:divsChild>
    </w:div>
    <w:div w:id="943268453">
      <w:bodyDiv w:val="1"/>
      <w:marLeft w:val="0"/>
      <w:marRight w:val="0"/>
      <w:marTop w:val="0"/>
      <w:marBottom w:val="0"/>
      <w:divBdr>
        <w:top w:val="none" w:sz="0" w:space="0" w:color="auto"/>
        <w:left w:val="none" w:sz="0" w:space="0" w:color="auto"/>
        <w:bottom w:val="none" w:sz="0" w:space="0" w:color="auto"/>
        <w:right w:val="none" w:sz="0" w:space="0" w:color="auto"/>
      </w:divBdr>
    </w:div>
    <w:div w:id="956761508">
      <w:bodyDiv w:val="1"/>
      <w:marLeft w:val="0"/>
      <w:marRight w:val="0"/>
      <w:marTop w:val="0"/>
      <w:marBottom w:val="0"/>
      <w:divBdr>
        <w:top w:val="none" w:sz="0" w:space="0" w:color="auto"/>
        <w:left w:val="none" w:sz="0" w:space="0" w:color="auto"/>
        <w:bottom w:val="none" w:sz="0" w:space="0" w:color="auto"/>
        <w:right w:val="none" w:sz="0" w:space="0" w:color="auto"/>
      </w:divBdr>
    </w:div>
    <w:div w:id="1050957147">
      <w:bodyDiv w:val="1"/>
      <w:marLeft w:val="0"/>
      <w:marRight w:val="0"/>
      <w:marTop w:val="0"/>
      <w:marBottom w:val="0"/>
      <w:divBdr>
        <w:top w:val="none" w:sz="0" w:space="0" w:color="auto"/>
        <w:left w:val="none" w:sz="0" w:space="0" w:color="auto"/>
        <w:bottom w:val="none" w:sz="0" w:space="0" w:color="auto"/>
        <w:right w:val="none" w:sz="0" w:space="0" w:color="auto"/>
      </w:divBdr>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100443884">
      <w:bodyDiv w:val="1"/>
      <w:marLeft w:val="0"/>
      <w:marRight w:val="0"/>
      <w:marTop w:val="0"/>
      <w:marBottom w:val="0"/>
      <w:divBdr>
        <w:top w:val="none" w:sz="0" w:space="0" w:color="auto"/>
        <w:left w:val="none" w:sz="0" w:space="0" w:color="auto"/>
        <w:bottom w:val="none" w:sz="0" w:space="0" w:color="auto"/>
        <w:right w:val="none" w:sz="0" w:space="0" w:color="auto"/>
      </w:divBdr>
    </w:div>
    <w:div w:id="1102533077">
      <w:bodyDiv w:val="1"/>
      <w:marLeft w:val="0"/>
      <w:marRight w:val="0"/>
      <w:marTop w:val="0"/>
      <w:marBottom w:val="0"/>
      <w:divBdr>
        <w:top w:val="none" w:sz="0" w:space="0" w:color="auto"/>
        <w:left w:val="none" w:sz="0" w:space="0" w:color="auto"/>
        <w:bottom w:val="none" w:sz="0" w:space="0" w:color="auto"/>
        <w:right w:val="none" w:sz="0" w:space="0" w:color="auto"/>
      </w:divBdr>
    </w:div>
    <w:div w:id="1146897892">
      <w:bodyDiv w:val="1"/>
      <w:marLeft w:val="0"/>
      <w:marRight w:val="0"/>
      <w:marTop w:val="0"/>
      <w:marBottom w:val="0"/>
      <w:divBdr>
        <w:top w:val="none" w:sz="0" w:space="0" w:color="auto"/>
        <w:left w:val="none" w:sz="0" w:space="0" w:color="auto"/>
        <w:bottom w:val="none" w:sz="0" w:space="0" w:color="auto"/>
        <w:right w:val="none" w:sz="0" w:space="0" w:color="auto"/>
      </w:divBdr>
    </w:div>
    <w:div w:id="1165975060">
      <w:bodyDiv w:val="1"/>
      <w:marLeft w:val="0"/>
      <w:marRight w:val="0"/>
      <w:marTop w:val="0"/>
      <w:marBottom w:val="0"/>
      <w:divBdr>
        <w:top w:val="none" w:sz="0" w:space="0" w:color="auto"/>
        <w:left w:val="none" w:sz="0" w:space="0" w:color="auto"/>
        <w:bottom w:val="none" w:sz="0" w:space="0" w:color="auto"/>
        <w:right w:val="none" w:sz="0" w:space="0" w:color="auto"/>
      </w:divBdr>
    </w:div>
    <w:div w:id="1181703111">
      <w:bodyDiv w:val="1"/>
      <w:marLeft w:val="0"/>
      <w:marRight w:val="0"/>
      <w:marTop w:val="0"/>
      <w:marBottom w:val="0"/>
      <w:divBdr>
        <w:top w:val="none" w:sz="0" w:space="0" w:color="auto"/>
        <w:left w:val="none" w:sz="0" w:space="0" w:color="auto"/>
        <w:bottom w:val="none" w:sz="0" w:space="0" w:color="auto"/>
        <w:right w:val="none" w:sz="0" w:space="0" w:color="auto"/>
      </w:divBdr>
    </w:div>
    <w:div w:id="1190335153">
      <w:bodyDiv w:val="1"/>
      <w:marLeft w:val="0"/>
      <w:marRight w:val="0"/>
      <w:marTop w:val="0"/>
      <w:marBottom w:val="0"/>
      <w:divBdr>
        <w:top w:val="none" w:sz="0" w:space="0" w:color="auto"/>
        <w:left w:val="none" w:sz="0" w:space="0" w:color="auto"/>
        <w:bottom w:val="none" w:sz="0" w:space="0" w:color="auto"/>
        <w:right w:val="none" w:sz="0" w:space="0" w:color="auto"/>
      </w:divBdr>
    </w:div>
    <w:div w:id="1200432733">
      <w:bodyDiv w:val="1"/>
      <w:marLeft w:val="0"/>
      <w:marRight w:val="0"/>
      <w:marTop w:val="0"/>
      <w:marBottom w:val="0"/>
      <w:divBdr>
        <w:top w:val="none" w:sz="0" w:space="0" w:color="auto"/>
        <w:left w:val="none" w:sz="0" w:space="0" w:color="auto"/>
        <w:bottom w:val="none" w:sz="0" w:space="0" w:color="auto"/>
        <w:right w:val="none" w:sz="0" w:space="0" w:color="auto"/>
      </w:divBdr>
      <w:divsChild>
        <w:div w:id="1297835741">
          <w:marLeft w:val="0"/>
          <w:marRight w:val="0"/>
          <w:marTop w:val="0"/>
          <w:marBottom w:val="0"/>
          <w:divBdr>
            <w:top w:val="none" w:sz="0" w:space="0" w:color="auto"/>
            <w:left w:val="none" w:sz="0" w:space="0" w:color="auto"/>
            <w:bottom w:val="none" w:sz="0" w:space="0" w:color="auto"/>
            <w:right w:val="none" w:sz="0" w:space="0" w:color="auto"/>
          </w:divBdr>
          <w:divsChild>
            <w:div w:id="515195517">
              <w:marLeft w:val="0"/>
              <w:marRight w:val="0"/>
              <w:marTop w:val="0"/>
              <w:marBottom w:val="0"/>
              <w:divBdr>
                <w:top w:val="none" w:sz="0" w:space="0" w:color="auto"/>
                <w:left w:val="none" w:sz="0" w:space="0" w:color="auto"/>
                <w:bottom w:val="none" w:sz="0" w:space="0" w:color="auto"/>
                <w:right w:val="none" w:sz="0" w:space="0" w:color="auto"/>
              </w:divBdr>
              <w:divsChild>
                <w:div w:id="1279337418">
                  <w:marLeft w:val="0"/>
                  <w:marRight w:val="0"/>
                  <w:marTop w:val="0"/>
                  <w:marBottom w:val="0"/>
                  <w:divBdr>
                    <w:top w:val="none" w:sz="0" w:space="0" w:color="auto"/>
                    <w:left w:val="none" w:sz="0" w:space="0" w:color="auto"/>
                    <w:bottom w:val="none" w:sz="0" w:space="0" w:color="auto"/>
                    <w:right w:val="none" w:sz="0" w:space="0" w:color="auto"/>
                  </w:divBdr>
                  <w:divsChild>
                    <w:div w:id="522212803">
                      <w:marLeft w:val="0"/>
                      <w:marRight w:val="0"/>
                      <w:marTop w:val="0"/>
                      <w:marBottom w:val="0"/>
                      <w:divBdr>
                        <w:top w:val="none" w:sz="0" w:space="0" w:color="auto"/>
                        <w:left w:val="none" w:sz="0" w:space="0" w:color="auto"/>
                        <w:bottom w:val="none" w:sz="0" w:space="0" w:color="auto"/>
                        <w:right w:val="none" w:sz="0" w:space="0" w:color="auto"/>
                      </w:divBdr>
                      <w:divsChild>
                        <w:div w:id="1262302990">
                          <w:marLeft w:val="0"/>
                          <w:marRight w:val="0"/>
                          <w:marTop w:val="0"/>
                          <w:marBottom w:val="0"/>
                          <w:divBdr>
                            <w:top w:val="none" w:sz="0" w:space="0" w:color="auto"/>
                            <w:left w:val="none" w:sz="0" w:space="0" w:color="auto"/>
                            <w:bottom w:val="none" w:sz="0" w:space="0" w:color="auto"/>
                            <w:right w:val="none" w:sz="0" w:space="0" w:color="auto"/>
                          </w:divBdr>
                          <w:divsChild>
                            <w:div w:id="568073350">
                              <w:marLeft w:val="0"/>
                              <w:marRight w:val="0"/>
                              <w:marTop w:val="0"/>
                              <w:marBottom w:val="0"/>
                              <w:divBdr>
                                <w:top w:val="none" w:sz="0" w:space="0" w:color="auto"/>
                                <w:left w:val="none" w:sz="0" w:space="0" w:color="auto"/>
                                <w:bottom w:val="none" w:sz="0" w:space="0" w:color="auto"/>
                                <w:right w:val="none" w:sz="0" w:space="0" w:color="auto"/>
                              </w:divBdr>
                              <w:divsChild>
                                <w:div w:id="359936145">
                                  <w:marLeft w:val="0"/>
                                  <w:marRight w:val="0"/>
                                  <w:marTop w:val="0"/>
                                  <w:marBottom w:val="0"/>
                                  <w:divBdr>
                                    <w:top w:val="none" w:sz="0" w:space="0" w:color="auto"/>
                                    <w:left w:val="none" w:sz="0" w:space="0" w:color="auto"/>
                                    <w:bottom w:val="none" w:sz="0" w:space="0" w:color="auto"/>
                                    <w:right w:val="none" w:sz="0" w:space="0" w:color="auto"/>
                                  </w:divBdr>
                                  <w:divsChild>
                                    <w:div w:id="945893874">
                                      <w:marLeft w:val="0"/>
                                      <w:marRight w:val="60"/>
                                      <w:marTop w:val="0"/>
                                      <w:marBottom w:val="0"/>
                                      <w:divBdr>
                                        <w:top w:val="none" w:sz="0" w:space="0" w:color="auto"/>
                                        <w:left w:val="none" w:sz="0" w:space="0" w:color="auto"/>
                                        <w:bottom w:val="none" w:sz="0" w:space="0" w:color="auto"/>
                                        <w:right w:val="none" w:sz="0" w:space="0" w:color="auto"/>
                                      </w:divBdr>
                                      <w:divsChild>
                                        <w:div w:id="1827428087">
                                          <w:marLeft w:val="0"/>
                                          <w:marRight w:val="0"/>
                                          <w:marTop w:val="0"/>
                                          <w:marBottom w:val="0"/>
                                          <w:divBdr>
                                            <w:top w:val="none" w:sz="0" w:space="0" w:color="auto"/>
                                            <w:left w:val="none" w:sz="0" w:space="0" w:color="auto"/>
                                            <w:bottom w:val="none" w:sz="0" w:space="0" w:color="auto"/>
                                            <w:right w:val="none" w:sz="0" w:space="0" w:color="auto"/>
                                          </w:divBdr>
                                        </w:div>
                                        <w:div w:id="2002151791">
                                          <w:marLeft w:val="0"/>
                                          <w:marRight w:val="0"/>
                                          <w:marTop w:val="0"/>
                                          <w:marBottom w:val="0"/>
                                          <w:divBdr>
                                            <w:top w:val="single" w:sz="6" w:space="12" w:color="999999"/>
                                            <w:left w:val="single" w:sz="6" w:space="12" w:color="999999"/>
                                            <w:bottom w:val="single" w:sz="6" w:space="12" w:color="999999"/>
                                            <w:right w:val="single" w:sz="6" w:space="12" w:color="999999"/>
                                          </w:divBdr>
                                          <w:divsChild>
                                            <w:div w:id="1528567032">
                                              <w:marLeft w:val="0"/>
                                              <w:marRight w:val="0"/>
                                              <w:marTop w:val="0"/>
                                              <w:marBottom w:val="0"/>
                                              <w:divBdr>
                                                <w:top w:val="none" w:sz="0" w:space="0" w:color="auto"/>
                                                <w:left w:val="none" w:sz="0" w:space="0" w:color="auto"/>
                                                <w:bottom w:val="none" w:sz="0" w:space="0" w:color="auto"/>
                                                <w:right w:val="none" w:sz="0" w:space="0" w:color="auto"/>
                                              </w:divBdr>
                                            </w:div>
                                          </w:divsChild>
                                        </w:div>
                                        <w:div w:id="21392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9311">
                                  <w:marLeft w:val="0"/>
                                  <w:marRight w:val="0"/>
                                  <w:marTop w:val="0"/>
                                  <w:marBottom w:val="0"/>
                                  <w:divBdr>
                                    <w:top w:val="none" w:sz="0" w:space="0" w:color="auto"/>
                                    <w:left w:val="none" w:sz="0" w:space="0" w:color="auto"/>
                                    <w:bottom w:val="none" w:sz="0" w:space="0" w:color="auto"/>
                                    <w:right w:val="none" w:sz="0" w:space="0" w:color="auto"/>
                                  </w:divBdr>
                                  <w:divsChild>
                                    <w:div w:id="1921677329">
                                      <w:marLeft w:val="60"/>
                                      <w:marRight w:val="0"/>
                                      <w:marTop w:val="0"/>
                                      <w:marBottom w:val="0"/>
                                      <w:divBdr>
                                        <w:top w:val="none" w:sz="0" w:space="0" w:color="auto"/>
                                        <w:left w:val="none" w:sz="0" w:space="0" w:color="auto"/>
                                        <w:bottom w:val="none" w:sz="0" w:space="0" w:color="auto"/>
                                        <w:right w:val="none" w:sz="0" w:space="0" w:color="auto"/>
                                      </w:divBdr>
                                      <w:divsChild>
                                        <w:div w:id="1006447599">
                                          <w:marLeft w:val="0"/>
                                          <w:marRight w:val="0"/>
                                          <w:marTop w:val="0"/>
                                          <w:marBottom w:val="0"/>
                                          <w:divBdr>
                                            <w:top w:val="none" w:sz="0" w:space="0" w:color="auto"/>
                                            <w:left w:val="none" w:sz="0" w:space="0" w:color="auto"/>
                                            <w:bottom w:val="none" w:sz="0" w:space="0" w:color="auto"/>
                                            <w:right w:val="none" w:sz="0" w:space="0" w:color="auto"/>
                                          </w:divBdr>
                                          <w:divsChild>
                                            <w:div w:id="638654844">
                                              <w:marLeft w:val="0"/>
                                              <w:marRight w:val="0"/>
                                              <w:marTop w:val="0"/>
                                              <w:marBottom w:val="120"/>
                                              <w:divBdr>
                                                <w:top w:val="single" w:sz="6" w:space="0" w:color="F5F5F5"/>
                                                <w:left w:val="single" w:sz="6" w:space="0" w:color="F5F5F5"/>
                                                <w:bottom w:val="single" w:sz="6" w:space="0" w:color="F5F5F5"/>
                                                <w:right w:val="single" w:sz="6" w:space="0" w:color="F5F5F5"/>
                                              </w:divBdr>
                                              <w:divsChild>
                                                <w:div w:id="863323609">
                                                  <w:marLeft w:val="0"/>
                                                  <w:marRight w:val="0"/>
                                                  <w:marTop w:val="0"/>
                                                  <w:marBottom w:val="0"/>
                                                  <w:divBdr>
                                                    <w:top w:val="none" w:sz="0" w:space="0" w:color="auto"/>
                                                    <w:left w:val="none" w:sz="0" w:space="0" w:color="auto"/>
                                                    <w:bottom w:val="none" w:sz="0" w:space="0" w:color="auto"/>
                                                    <w:right w:val="none" w:sz="0" w:space="0" w:color="auto"/>
                                                  </w:divBdr>
                                                  <w:divsChild>
                                                    <w:div w:id="11357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343874">
      <w:bodyDiv w:val="1"/>
      <w:marLeft w:val="0"/>
      <w:marRight w:val="0"/>
      <w:marTop w:val="0"/>
      <w:marBottom w:val="0"/>
      <w:divBdr>
        <w:top w:val="none" w:sz="0" w:space="0" w:color="auto"/>
        <w:left w:val="none" w:sz="0" w:space="0" w:color="auto"/>
        <w:bottom w:val="none" w:sz="0" w:space="0" w:color="auto"/>
        <w:right w:val="none" w:sz="0" w:space="0" w:color="auto"/>
      </w:divBdr>
    </w:div>
    <w:div w:id="1237594104">
      <w:bodyDiv w:val="1"/>
      <w:marLeft w:val="0"/>
      <w:marRight w:val="0"/>
      <w:marTop w:val="0"/>
      <w:marBottom w:val="0"/>
      <w:divBdr>
        <w:top w:val="none" w:sz="0" w:space="0" w:color="auto"/>
        <w:left w:val="none" w:sz="0" w:space="0" w:color="auto"/>
        <w:bottom w:val="none" w:sz="0" w:space="0" w:color="auto"/>
        <w:right w:val="none" w:sz="0" w:space="0" w:color="auto"/>
      </w:divBdr>
    </w:div>
    <w:div w:id="1251237442">
      <w:bodyDiv w:val="1"/>
      <w:marLeft w:val="0"/>
      <w:marRight w:val="0"/>
      <w:marTop w:val="0"/>
      <w:marBottom w:val="0"/>
      <w:divBdr>
        <w:top w:val="none" w:sz="0" w:space="0" w:color="auto"/>
        <w:left w:val="none" w:sz="0" w:space="0" w:color="auto"/>
        <w:bottom w:val="none" w:sz="0" w:space="0" w:color="auto"/>
        <w:right w:val="none" w:sz="0" w:space="0" w:color="auto"/>
      </w:divBdr>
    </w:div>
    <w:div w:id="1278832062">
      <w:bodyDiv w:val="1"/>
      <w:marLeft w:val="0"/>
      <w:marRight w:val="0"/>
      <w:marTop w:val="0"/>
      <w:marBottom w:val="0"/>
      <w:divBdr>
        <w:top w:val="none" w:sz="0" w:space="0" w:color="auto"/>
        <w:left w:val="none" w:sz="0" w:space="0" w:color="auto"/>
        <w:bottom w:val="none" w:sz="0" w:space="0" w:color="auto"/>
        <w:right w:val="none" w:sz="0" w:space="0" w:color="auto"/>
      </w:divBdr>
    </w:div>
    <w:div w:id="1346832638">
      <w:bodyDiv w:val="1"/>
      <w:marLeft w:val="0"/>
      <w:marRight w:val="0"/>
      <w:marTop w:val="0"/>
      <w:marBottom w:val="0"/>
      <w:divBdr>
        <w:top w:val="none" w:sz="0" w:space="0" w:color="auto"/>
        <w:left w:val="none" w:sz="0" w:space="0" w:color="auto"/>
        <w:bottom w:val="none" w:sz="0" w:space="0" w:color="auto"/>
        <w:right w:val="none" w:sz="0" w:space="0" w:color="auto"/>
      </w:divBdr>
    </w:div>
    <w:div w:id="1398892683">
      <w:bodyDiv w:val="1"/>
      <w:marLeft w:val="0"/>
      <w:marRight w:val="0"/>
      <w:marTop w:val="0"/>
      <w:marBottom w:val="0"/>
      <w:divBdr>
        <w:top w:val="none" w:sz="0" w:space="0" w:color="auto"/>
        <w:left w:val="none" w:sz="0" w:space="0" w:color="auto"/>
        <w:bottom w:val="none" w:sz="0" w:space="0" w:color="auto"/>
        <w:right w:val="none" w:sz="0" w:space="0" w:color="auto"/>
      </w:divBdr>
    </w:div>
    <w:div w:id="1447307450">
      <w:bodyDiv w:val="1"/>
      <w:marLeft w:val="0"/>
      <w:marRight w:val="0"/>
      <w:marTop w:val="0"/>
      <w:marBottom w:val="0"/>
      <w:divBdr>
        <w:top w:val="none" w:sz="0" w:space="0" w:color="auto"/>
        <w:left w:val="none" w:sz="0" w:space="0" w:color="auto"/>
        <w:bottom w:val="none" w:sz="0" w:space="0" w:color="auto"/>
        <w:right w:val="none" w:sz="0" w:space="0" w:color="auto"/>
      </w:divBdr>
    </w:div>
    <w:div w:id="1498955682">
      <w:bodyDiv w:val="1"/>
      <w:marLeft w:val="0"/>
      <w:marRight w:val="0"/>
      <w:marTop w:val="0"/>
      <w:marBottom w:val="0"/>
      <w:divBdr>
        <w:top w:val="none" w:sz="0" w:space="0" w:color="auto"/>
        <w:left w:val="none" w:sz="0" w:space="0" w:color="auto"/>
        <w:bottom w:val="none" w:sz="0" w:space="0" w:color="auto"/>
        <w:right w:val="none" w:sz="0" w:space="0" w:color="auto"/>
      </w:divBdr>
    </w:div>
    <w:div w:id="1513495210">
      <w:bodyDiv w:val="1"/>
      <w:marLeft w:val="0"/>
      <w:marRight w:val="0"/>
      <w:marTop w:val="0"/>
      <w:marBottom w:val="0"/>
      <w:divBdr>
        <w:top w:val="none" w:sz="0" w:space="0" w:color="auto"/>
        <w:left w:val="none" w:sz="0" w:space="0" w:color="auto"/>
        <w:bottom w:val="none" w:sz="0" w:space="0" w:color="auto"/>
        <w:right w:val="none" w:sz="0" w:space="0" w:color="auto"/>
      </w:divBdr>
    </w:div>
    <w:div w:id="1523518591">
      <w:bodyDiv w:val="1"/>
      <w:marLeft w:val="0"/>
      <w:marRight w:val="0"/>
      <w:marTop w:val="0"/>
      <w:marBottom w:val="0"/>
      <w:divBdr>
        <w:top w:val="none" w:sz="0" w:space="0" w:color="auto"/>
        <w:left w:val="none" w:sz="0" w:space="0" w:color="auto"/>
        <w:bottom w:val="none" w:sz="0" w:space="0" w:color="auto"/>
        <w:right w:val="none" w:sz="0" w:space="0" w:color="auto"/>
      </w:divBdr>
    </w:div>
    <w:div w:id="1632784676">
      <w:bodyDiv w:val="1"/>
      <w:marLeft w:val="0"/>
      <w:marRight w:val="0"/>
      <w:marTop w:val="0"/>
      <w:marBottom w:val="0"/>
      <w:divBdr>
        <w:top w:val="none" w:sz="0" w:space="0" w:color="auto"/>
        <w:left w:val="none" w:sz="0" w:space="0" w:color="auto"/>
        <w:bottom w:val="none" w:sz="0" w:space="0" w:color="auto"/>
        <w:right w:val="none" w:sz="0" w:space="0" w:color="auto"/>
      </w:divBdr>
    </w:div>
    <w:div w:id="1636062752">
      <w:bodyDiv w:val="1"/>
      <w:marLeft w:val="0"/>
      <w:marRight w:val="0"/>
      <w:marTop w:val="0"/>
      <w:marBottom w:val="0"/>
      <w:divBdr>
        <w:top w:val="none" w:sz="0" w:space="0" w:color="auto"/>
        <w:left w:val="none" w:sz="0" w:space="0" w:color="auto"/>
        <w:bottom w:val="none" w:sz="0" w:space="0" w:color="auto"/>
        <w:right w:val="none" w:sz="0" w:space="0" w:color="auto"/>
      </w:divBdr>
    </w:div>
    <w:div w:id="1675257419">
      <w:bodyDiv w:val="1"/>
      <w:marLeft w:val="0"/>
      <w:marRight w:val="0"/>
      <w:marTop w:val="0"/>
      <w:marBottom w:val="0"/>
      <w:divBdr>
        <w:top w:val="none" w:sz="0" w:space="0" w:color="auto"/>
        <w:left w:val="none" w:sz="0" w:space="0" w:color="auto"/>
        <w:bottom w:val="none" w:sz="0" w:space="0" w:color="auto"/>
        <w:right w:val="none" w:sz="0" w:space="0" w:color="auto"/>
      </w:divBdr>
    </w:div>
    <w:div w:id="1700355499">
      <w:bodyDiv w:val="1"/>
      <w:marLeft w:val="0"/>
      <w:marRight w:val="0"/>
      <w:marTop w:val="0"/>
      <w:marBottom w:val="0"/>
      <w:divBdr>
        <w:top w:val="none" w:sz="0" w:space="0" w:color="auto"/>
        <w:left w:val="none" w:sz="0" w:space="0" w:color="auto"/>
        <w:bottom w:val="none" w:sz="0" w:space="0" w:color="auto"/>
        <w:right w:val="none" w:sz="0" w:space="0" w:color="auto"/>
      </w:divBdr>
    </w:div>
    <w:div w:id="1713068040">
      <w:bodyDiv w:val="1"/>
      <w:marLeft w:val="0"/>
      <w:marRight w:val="0"/>
      <w:marTop w:val="0"/>
      <w:marBottom w:val="0"/>
      <w:divBdr>
        <w:top w:val="none" w:sz="0" w:space="0" w:color="auto"/>
        <w:left w:val="none" w:sz="0" w:space="0" w:color="auto"/>
        <w:bottom w:val="none" w:sz="0" w:space="0" w:color="auto"/>
        <w:right w:val="none" w:sz="0" w:space="0" w:color="auto"/>
      </w:divBdr>
    </w:div>
    <w:div w:id="1715622187">
      <w:bodyDiv w:val="1"/>
      <w:marLeft w:val="0"/>
      <w:marRight w:val="0"/>
      <w:marTop w:val="0"/>
      <w:marBottom w:val="0"/>
      <w:divBdr>
        <w:top w:val="none" w:sz="0" w:space="0" w:color="auto"/>
        <w:left w:val="none" w:sz="0" w:space="0" w:color="auto"/>
        <w:bottom w:val="none" w:sz="0" w:space="0" w:color="auto"/>
        <w:right w:val="none" w:sz="0" w:space="0" w:color="auto"/>
      </w:divBdr>
    </w:div>
    <w:div w:id="1748529894">
      <w:bodyDiv w:val="1"/>
      <w:marLeft w:val="0"/>
      <w:marRight w:val="0"/>
      <w:marTop w:val="0"/>
      <w:marBottom w:val="0"/>
      <w:divBdr>
        <w:top w:val="none" w:sz="0" w:space="0" w:color="auto"/>
        <w:left w:val="none" w:sz="0" w:space="0" w:color="auto"/>
        <w:bottom w:val="none" w:sz="0" w:space="0" w:color="auto"/>
        <w:right w:val="none" w:sz="0" w:space="0" w:color="auto"/>
      </w:divBdr>
    </w:div>
    <w:div w:id="1774667720">
      <w:bodyDiv w:val="1"/>
      <w:marLeft w:val="0"/>
      <w:marRight w:val="0"/>
      <w:marTop w:val="0"/>
      <w:marBottom w:val="0"/>
      <w:divBdr>
        <w:top w:val="none" w:sz="0" w:space="0" w:color="auto"/>
        <w:left w:val="none" w:sz="0" w:space="0" w:color="auto"/>
        <w:bottom w:val="none" w:sz="0" w:space="0" w:color="auto"/>
        <w:right w:val="none" w:sz="0" w:space="0" w:color="auto"/>
      </w:divBdr>
    </w:div>
    <w:div w:id="1817724819">
      <w:bodyDiv w:val="1"/>
      <w:marLeft w:val="0"/>
      <w:marRight w:val="0"/>
      <w:marTop w:val="0"/>
      <w:marBottom w:val="0"/>
      <w:divBdr>
        <w:top w:val="none" w:sz="0" w:space="0" w:color="auto"/>
        <w:left w:val="none" w:sz="0" w:space="0" w:color="auto"/>
        <w:bottom w:val="none" w:sz="0" w:space="0" w:color="auto"/>
        <w:right w:val="none" w:sz="0" w:space="0" w:color="auto"/>
      </w:divBdr>
    </w:div>
    <w:div w:id="1832066448">
      <w:bodyDiv w:val="1"/>
      <w:marLeft w:val="0"/>
      <w:marRight w:val="0"/>
      <w:marTop w:val="0"/>
      <w:marBottom w:val="0"/>
      <w:divBdr>
        <w:top w:val="none" w:sz="0" w:space="0" w:color="auto"/>
        <w:left w:val="none" w:sz="0" w:space="0" w:color="auto"/>
        <w:bottom w:val="none" w:sz="0" w:space="0" w:color="auto"/>
        <w:right w:val="none" w:sz="0" w:space="0" w:color="auto"/>
      </w:divBdr>
    </w:div>
    <w:div w:id="1860777139">
      <w:bodyDiv w:val="1"/>
      <w:marLeft w:val="0"/>
      <w:marRight w:val="0"/>
      <w:marTop w:val="0"/>
      <w:marBottom w:val="0"/>
      <w:divBdr>
        <w:top w:val="none" w:sz="0" w:space="0" w:color="auto"/>
        <w:left w:val="none" w:sz="0" w:space="0" w:color="auto"/>
        <w:bottom w:val="none" w:sz="0" w:space="0" w:color="auto"/>
        <w:right w:val="none" w:sz="0" w:space="0" w:color="auto"/>
      </w:divBdr>
    </w:div>
    <w:div w:id="1875848081">
      <w:bodyDiv w:val="1"/>
      <w:marLeft w:val="0"/>
      <w:marRight w:val="0"/>
      <w:marTop w:val="0"/>
      <w:marBottom w:val="0"/>
      <w:divBdr>
        <w:top w:val="none" w:sz="0" w:space="0" w:color="auto"/>
        <w:left w:val="none" w:sz="0" w:space="0" w:color="auto"/>
        <w:bottom w:val="none" w:sz="0" w:space="0" w:color="auto"/>
        <w:right w:val="none" w:sz="0" w:space="0" w:color="auto"/>
      </w:divBdr>
    </w:div>
    <w:div w:id="1890145013">
      <w:bodyDiv w:val="1"/>
      <w:marLeft w:val="0"/>
      <w:marRight w:val="0"/>
      <w:marTop w:val="0"/>
      <w:marBottom w:val="0"/>
      <w:divBdr>
        <w:top w:val="none" w:sz="0" w:space="0" w:color="auto"/>
        <w:left w:val="none" w:sz="0" w:space="0" w:color="auto"/>
        <w:bottom w:val="none" w:sz="0" w:space="0" w:color="auto"/>
        <w:right w:val="none" w:sz="0" w:space="0" w:color="auto"/>
      </w:divBdr>
    </w:div>
    <w:div w:id="1978292188">
      <w:bodyDiv w:val="1"/>
      <w:marLeft w:val="0"/>
      <w:marRight w:val="0"/>
      <w:marTop w:val="0"/>
      <w:marBottom w:val="0"/>
      <w:divBdr>
        <w:top w:val="none" w:sz="0" w:space="0" w:color="auto"/>
        <w:left w:val="none" w:sz="0" w:space="0" w:color="auto"/>
        <w:bottom w:val="none" w:sz="0" w:space="0" w:color="auto"/>
        <w:right w:val="none" w:sz="0" w:space="0" w:color="auto"/>
      </w:divBdr>
    </w:div>
    <w:div w:id="2007829481">
      <w:bodyDiv w:val="1"/>
      <w:marLeft w:val="0"/>
      <w:marRight w:val="0"/>
      <w:marTop w:val="0"/>
      <w:marBottom w:val="0"/>
      <w:divBdr>
        <w:top w:val="none" w:sz="0" w:space="0" w:color="auto"/>
        <w:left w:val="none" w:sz="0" w:space="0" w:color="auto"/>
        <w:bottom w:val="none" w:sz="0" w:space="0" w:color="auto"/>
        <w:right w:val="none" w:sz="0" w:space="0" w:color="auto"/>
      </w:divBdr>
    </w:div>
    <w:div w:id="2065057608">
      <w:bodyDiv w:val="1"/>
      <w:marLeft w:val="0"/>
      <w:marRight w:val="0"/>
      <w:marTop w:val="0"/>
      <w:marBottom w:val="0"/>
      <w:divBdr>
        <w:top w:val="none" w:sz="0" w:space="0" w:color="auto"/>
        <w:left w:val="none" w:sz="0" w:space="0" w:color="auto"/>
        <w:bottom w:val="none" w:sz="0" w:space="0" w:color="auto"/>
        <w:right w:val="none" w:sz="0" w:space="0" w:color="auto"/>
      </w:divBdr>
    </w:div>
    <w:div w:id="2085444487">
      <w:bodyDiv w:val="1"/>
      <w:marLeft w:val="0"/>
      <w:marRight w:val="0"/>
      <w:marTop w:val="0"/>
      <w:marBottom w:val="0"/>
      <w:divBdr>
        <w:top w:val="none" w:sz="0" w:space="0" w:color="auto"/>
        <w:left w:val="none" w:sz="0" w:space="0" w:color="auto"/>
        <w:bottom w:val="none" w:sz="0" w:space="0" w:color="auto"/>
        <w:right w:val="none" w:sz="0" w:space="0" w:color="auto"/>
      </w:divBdr>
    </w:div>
    <w:div w:id="2085952819">
      <w:bodyDiv w:val="1"/>
      <w:marLeft w:val="0"/>
      <w:marRight w:val="0"/>
      <w:marTop w:val="0"/>
      <w:marBottom w:val="0"/>
      <w:divBdr>
        <w:top w:val="none" w:sz="0" w:space="0" w:color="auto"/>
        <w:left w:val="none" w:sz="0" w:space="0" w:color="auto"/>
        <w:bottom w:val="none" w:sz="0" w:space="0" w:color="auto"/>
        <w:right w:val="none" w:sz="0" w:space="0" w:color="auto"/>
      </w:divBdr>
    </w:div>
    <w:div w:id="2087722480">
      <w:bodyDiv w:val="1"/>
      <w:marLeft w:val="0"/>
      <w:marRight w:val="0"/>
      <w:marTop w:val="0"/>
      <w:marBottom w:val="0"/>
      <w:divBdr>
        <w:top w:val="none" w:sz="0" w:space="0" w:color="auto"/>
        <w:left w:val="none" w:sz="0" w:space="0" w:color="auto"/>
        <w:bottom w:val="none" w:sz="0" w:space="0" w:color="auto"/>
        <w:right w:val="none" w:sz="0" w:space="0" w:color="auto"/>
      </w:divBdr>
    </w:div>
    <w:div w:id="2096125978">
      <w:bodyDiv w:val="1"/>
      <w:marLeft w:val="0"/>
      <w:marRight w:val="0"/>
      <w:marTop w:val="0"/>
      <w:marBottom w:val="0"/>
      <w:divBdr>
        <w:top w:val="none" w:sz="0" w:space="0" w:color="auto"/>
        <w:left w:val="none" w:sz="0" w:space="0" w:color="auto"/>
        <w:bottom w:val="none" w:sz="0" w:space="0" w:color="auto"/>
        <w:right w:val="none" w:sz="0" w:space="0" w:color="auto"/>
      </w:divBdr>
    </w:div>
    <w:div w:id="21027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livier.hermanns@dgov.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ipt.be/fr/operateurs/telecom/marches/radiodiffusion/offres-de-reference-cablo-operateurs/communication-concernant-les-offres-de-references-du-cabl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ssier Document Telecom NL" ma:contentTypeID="0x0101004FA21861B553C741A1AA3F2E5831C1CC050A01006FFBF1FCFB744040A2B4D56B224576E1" ma:contentTypeVersion="8" ma:contentTypeDescription="Een nieuw document maken." ma:contentTypeScope="" ma:versionID="f0907a05ee4b1ac3267d7db70eb824b9">
  <xsd:schema xmlns:xsd="http://www.w3.org/2001/XMLSchema" xmlns:xs="http://www.w3.org/2001/XMLSchema" xmlns:p="http://schemas.microsoft.com/office/2006/metadata/properties" xmlns:ns2="2b4b6fc7-bde4-44a8-8bca-a78eb25a27e9" targetNamespace="http://schemas.microsoft.com/office/2006/metadata/properties" ma:root="true" ma:fieldsID="63c23014d240a471fc279cd523ffc7fd" ns2:_="">
    <xsd:import namespace="2b4b6fc7-bde4-44a8-8bca-a78eb25a27e9"/>
    <xsd:element name="properties">
      <xsd:complexType>
        <xsd:sequence>
          <xsd:element name="documentManagement">
            <xsd:complexType>
              <xsd:all>
                <xsd:element ref="ns2:Dossier_x0020_Number" minOccurs="0"/>
                <xsd:element ref="ns2:History_x0020_of_x0020_Remarks" minOccurs="0"/>
                <xsd:element ref="ns2:Administrative" minOccurs="0"/>
                <xsd:element ref="ns2:Confidential1" minOccurs="0"/>
                <xsd:element ref="ns2:Version_x0020_Published_x0020_To_x0020_Library" minOccurs="0"/>
                <xsd:element ref="ns2:Version_x0020_Published_x0020_to_x0020_Internet" minOccurs="0"/>
                <xsd:element ref="ns2:QuickPartDocumentId" minOccurs="0"/>
                <xsd:element ref="ns2:d4ec9b080060429989fa5f940ee3f852" minOccurs="0"/>
                <xsd:element ref="ns2:TaxCatchAll" minOccurs="0"/>
                <xsd:element ref="ns2:o3cf37d2a5d34fd7955003a053893e5e" minOccurs="0"/>
                <xsd:element ref="ns2:_dlc_DocId" minOccurs="0"/>
                <xsd:element ref="ns2:TaxCatchAllLabel" minOccurs="0"/>
                <xsd:element ref="ns2:ma0d6816d453412a898e0908e90b1a73"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b6fc7-bde4-44a8-8bca-a78eb25a27e9" elementFormDefault="qualified">
    <xsd:import namespace="http://schemas.microsoft.com/office/2006/documentManagement/types"/>
    <xsd:import namespace="http://schemas.microsoft.com/office/infopath/2007/PartnerControls"/>
    <xsd:element name="Dossier_x0020_Number" ma:index="5" nillable="true" ma:displayName="Dossier Number" ma:internalName="Dossier_x0020_Number">
      <xsd:simpleType>
        <xsd:restriction base="dms:Text">
          <xsd:maxLength value="255"/>
        </xsd:restriction>
      </xsd:simpleType>
    </xsd:element>
    <xsd:element name="History_x0020_of_x0020_Remarks" ma:index="6" nillable="true" ma:displayName="History of Remarks" ma:internalName="History_x0020_of_x0020_Remarks">
      <xsd:simpleType>
        <xsd:restriction base="dms:Note">
          <xsd:maxLength value="255"/>
        </xsd:restriction>
      </xsd:simpleType>
    </xsd:element>
    <xsd:element name="Administrative" ma:index="7" nillable="true" ma:displayName="Administrative" ma:default="0" ma:internalName="Administrative">
      <xsd:simpleType>
        <xsd:restriction base="dms:Boolean"/>
      </xsd:simpleType>
    </xsd:element>
    <xsd:element name="Confidential1" ma:index="8" nillable="true" ma:displayName="Confidential" ma:default="0" ma:internalName="Confidential1">
      <xsd:simpleType>
        <xsd:restriction base="dms:Boolean"/>
      </xsd:simpleType>
    </xsd:element>
    <xsd:element name="Version_x0020_Published_x0020_To_x0020_Library" ma:index="9" nillable="true" ma:displayName="Version Published to Library" ma:internalName="Version_x0020_Published_x0020_To_x0020_Library">
      <xsd:simpleType>
        <xsd:restriction base="dms:Text">
          <xsd:maxLength value="255"/>
        </xsd:restriction>
      </xsd:simpleType>
    </xsd:element>
    <xsd:element name="Version_x0020_Published_x0020_to_x0020_Internet" ma:index="10" nillable="true" ma:displayName="Version Published to Internet" ma:internalName="Version_x0020_Published_x0020_to_x0020_Internet">
      <xsd:simpleType>
        <xsd:restriction base="dms:Text">
          <xsd:maxLength value="255"/>
        </xsd:restriction>
      </xsd:simpleType>
    </xsd:element>
    <xsd:element name="QuickPartDocumentId" ma:index="11" nillable="true" ma:displayName="Doc Id" ma:internalName="QuickPartDocumentId" ma:readOnly="false">
      <xsd:simpleType>
        <xsd:restriction base="dms:Text">
          <xsd:maxLength value="255"/>
        </xsd:restriction>
      </xsd:simpleType>
    </xsd:element>
    <xsd:element name="d4ec9b080060429989fa5f940ee3f852" ma:index="14" nillable="true" ma:taxonomy="true" ma:internalName="d4ec9b080060429989fa5f940ee3f852" ma:taxonomyFieldName="Service1" ma:displayName="Service" ma:readOnly="false" ma:default="" ma:fieldId="{d4ec9b08-0060-4299-89fa-5f940ee3f852}" ma:sspId="75b52628-4ae0-409d-b79e-6d0521b2c784" ma:termSetId="46b8dc2a-6372-4a7b-bdd4-6b0c5e78749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acb5312-317a-4e89-849f-bd5396de7844}" ma:internalName="TaxCatchAll" ma:showField="CatchAllData" ma:web="e2cd7b9e-078e-4e8f-a84b-8a97c13b172a">
      <xsd:complexType>
        <xsd:complexContent>
          <xsd:extension base="dms:MultiChoiceLookup">
            <xsd:sequence>
              <xsd:element name="Value" type="dms:Lookup" maxOccurs="unbounded" minOccurs="0" nillable="true"/>
            </xsd:sequence>
          </xsd:extension>
        </xsd:complexContent>
      </xsd:complexType>
    </xsd:element>
    <xsd:element name="o3cf37d2a5d34fd7955003a053893e5e" ma:index="16" nillable="true" ma:taxonomy="true" ma:internalName="o3cf37d2a5d34fd7955003a053893e5e" ma:taxonomyFieldName="Languages" ma:displayName="Languages" ma:default="" ma:fieldId="{83cf37d2-a5d3-4fd7-9550-03a053893e5e}" ma:taxonomyMulti="true" ma:sspId="75b52628-4ae0-409d-b79e-6d0521b2c784" ma:termSetId="af6d6fcf-919d-4606-93f6-1f52cad124cb"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TaxCatchAllLabel" ma:index="21" nillable="true" ma:displayName="Taxonomy Catch All Column1" ma:hidden="true" ma:list="{aacb5312-317a-4e89-849f-bd5396de7844}" ma:internalName="TaxCatchAllLabel" ma:readOnly="true" ma:showField="CatchAllDataLabel" ma:web="e2cd7b9e-078e-4e8f-a84b-8a97c13b172a">
      <xsd:complexType>
        <xsd:complexContent>
          <xsd:extension base="dms:MultiChoiceLookup">
            <xsd:sequence>
              <xsd:element name="Value" type="dms:Lookup" maxOccurs="unbounded" minOccurs="0" nillable="true"/>
            </xsd:sequence>
          </xsd:extension>
        </xsd:complexContent>
      </xsd:complexType>
    </xsd:element>
    <xsd:element name="ma0d6816d453412a898e0908e90b1a73" ma:index="22" nillable="true" ma:taxonomy="true" ma:internalName="ma0d6816d453412a898e0908e90b1a73" ma:taxonomyFieldName="Telecom_x0020_Document_x0020_Type" ma:displayName="Telecom Document Type" ma:default="" ma:fieldId="{6a0d6816-d453-412a-898e-0908e90b1a73}" ma:sspId="75b52628-4ae0-409d-b79e-6d0521b2c784" ma:termSetId="70a71869-97dc-44c4-809f-c82c1748fef0"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Version_x0020_Published_x0020_To_x0020_Library xmlns="2b4b6fc7-bde4-44a8-8bca-a78eb25a27e9" xsi:nil="true"/>
    <d4ec9b080060429989fa5f940ee3f852 xmlns="2b4b6fc7-bde4-44a8-8bca-a78eb25a27e9">
      <Terms xmlns="http://schemas.microsoft.com/office/infopath/2007/PartnerControls"/>
    </d4ec9b080060429989fa5f940ee3f852>
    <o3cf37d2a5d34fd7955003a053893e5e xmlns="2b4b6fc7-bde4-44a8-8bca-a78eb25a27e9">
      <Terms xmlns="http://schemas.microsoft.com/office/infopath/2007/PartnerControls"/>
    </o3cf37d2a5d34fd7955003a053893e5e>
    <Dossier_x0020_Number xmlns="2b4b6fc7-bde4-44a8-8bca-a78eb25a27e9" xsi:nil="true"/>
    <Version_x0020_Published_x0020_to_x0020_Internet xmlns="2b4b6fc7-bde4-44a8-8bca-a78eb25a27e9" xsi:nil="true"/>
    <TaxCatchAll xmlns="2b4b6fc7-bde4-44a8-8bca-a78eb25a27e9"/>
    <QuickPartDocumentId xmlns="2b4b6fc7-bde4-44a8-8bca-a78eb25a27e9" xsi:nil="true"/>
    <History_x0020_of_x0020_Remarks xmlns="2b4b6fc7-bde4-44a8-8bca-a78eb25a27e9" xsi:nil="true"/>
    <Administrative xmlns="2b4b6fc7-bde4-44a8-8bca-a78eb25a27e9" xsi:nil="true"/>
    <Confidential1 xmlns="2b4b6fc7-bde4-44a8-8bca-a78eb25a27e9" xsi:nil="true"/>
    <_dlc_DocId xmlns="2b4b6fc7-bde4-44a8-8bca-a78eb25a27e9" xsi:nil="true"/>
    <_dlc_DocIdUrl xmlns="2b4b6fc7-bde4-44a8-8bca-a78eb25a27e9">
      <Url xsi:nil="true"/>
      <Description xsi:nil="true"/>
    </_dlc_DocIdUrl>
    <ma0d6816d453412a898e0908e90b1a73 xmlns="2b4b6fc7-bde4-44a8-8bca-a78eb25a27e9">
      <Terms xmlns="http://schemas.microsoft.com/office/infopath/2007/PartnerControls"/>
    </ma0d6816d453412a898e0908e90b1a7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Add Dossier Service and Service Nr Eventhandler (Added)</Name>
    <Synchronization>Synchronous</Synchronization>
    <Type>10001</Type>
    <SequenceNumber>10030</SequenceNumber>
    <Assembly>BIPT.Ged, Version=1.0.0.0, Culture=neutral, PublicKeyToken=423c9e81cd84949a</Assembly>
    <Class>BIPT.Ged.EventReceivers.FillOutDossierServiceAndServiceNumber.FillOutDossierServiceAndServiceNumber</Class>
    <Data/>
    <Filter/>
  </Receiver>
  <Receiver>
    <Name>addin</Name>
    <Synchronization>Synchronous</Synchronization>
    <Type>1</Type>
    <SequenceNumber>10240</SequenceNumber>
    <Assembly>BIPT.Ged, Version=1.0.0.0, Culture=neutral, PublicKeyToken=423c9e81cd84949a</Assembly>
    <Class>BIPT.Ged.EventReceivers.FillOutDossierServiceAndServiceNumber.FillOutDossierServiceAndServiceNumber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A046-8936-425C-8C4B-AB6957A3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b6fc7-bde4-44a8-8bca-a78eb25a2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044E-A13F-4030-A6A4-EDC0D51E9CC5}">
  <ds:schemaRefs>
    <ds:schemaRef ds:uri="http://schemas.microsoft.com/office/2006/metadata/customXsn"/>
  </ds:schemaRefs>
</ds:datastoreItem>
</file>

<file path=customXml/itemProps3.xml><?xml version="1.0" encoding="utf-8"?>
<ds:datastoreItem xmlns:ds="http://schemas.openxmlformats.org/officeDocument/2006/customXml" ds:itemID="{EF094BAC-A33A-4AFF-B7B6-B9ED522E95C2}">
  <ds:schemaRef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2b4b6fc7-bde4-44a8-8bca-a78eb25a27e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38D5F1-213C-483D-9141-3CEFEA41A11A}">
  <ds:schemaRefs>
    <ds:schemaRef ds:uri="http://schemas.microsoft.com/sharepoint/v3/contenttype/forms"/>
  </ds:schemaRefs>
</ds:datastoreItem>
</file>

<file path=customXml/itemProps5.xml><?xml version="1.0" encoding="utf-8"?>
<ds:datastoreItem xmlns:ds="http://schemas.openxmlformats.org/officeDocument/2006/customXml" ds:itemID="{39468FFB-6B40-454A-921F-B95A9D1A8809}">
  <ds:schemaRefs>
    <ds:schemaRef ds:uri="http://schemas.microsoft.com/sharepoint/events"/>
  </ds:schemaRefs>
</ds:datastoreItem>
</file>

<file path=customXml/itemProps6.xml><?xml version="1.0" encoding="utf-8"?>
<ds:datastoreItem xmlns:ds="http://schemas.openxmlformats.org/officeDocument/2006/customXml" ds:itemID="{951AE118-B8E2-4BC2-9FF3-5A0741CC5577}">
  <ds:schemaRefs>
    <ds:schemaRef ds:uri="http://schemas.openxmlformats.org/officeDocument/2006/bibliography"/>
  </ds:schemaRefs>
</ds:datastoreItem>
</file>

<file path=customXml/itemProps7.xml><?xml version="1.0" encoding="utf-8"?>
<ds:datastoreItem xmlns:ds="http://schemas.openxmlformats.org/officeDocument/2006/customXml" ds:itemID="{11D94DA8-3E81-4383-9F34-0D656C49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6486</Words>
  <Characters>40865</Characters>
  <Application>Microsoft Office Word</Application>
  <DocSecurity>0</DocSecurity>
  <Lines>340</Lines>
  <Paragraphs>94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goedkeuringsbesluit brutélé clean</vt:lpstr>
      <vt:lpstr>goedkeuringsbesluit brutélé clean</vt:lpstr>
      <vt:lpstr/>
    </vt:vector>
  </TitlesOfParts>
  <Company>Microsoft</Company>
  <LinksUpToDate>false</LinksUpToDate>
  <CharactersWithSpaces>47257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goedkeuringsbesluit brutélé clean</dc:title>
  <dc:creator>bram.neeskens</dc:creator>
  <cp:lastModifiedBy>HERMANNS, Olivier</cp:lastModifiedBy>
  <cp:revision>5</cp:revision>
  <cp:lastPrinted>2012-12-20T12:37:00Z</cp:lastPrinted>
  <dcterms:created xsi:type="dcterms:W3CDTF">2015-09-14T09:47:00Z</dcterms:created>
  <dcterms:modified xsi:type="dcterms:W3CDTF">2015-09-14T11:56:00Z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0x0101004FA21861B553C741A1AA3F2E5831C1CC050A01006FFBF1FCFB744040A2B4D56B224576E1</vt:lpwstr>
  </property>
  <property fmtid="{D5CDD505-2E9C-101B-9397-08002B2CF9AE}" pid="3" name="_dlc_DocIdItemGuid">
    <vt:lpwstr>ac603f84-40d7-42a1-9b81-0135f1fc5cc3</vt:lpwstr>
  </property>
  <property fmtid="{D5CDD505-2E9C-101B-9397-08002B2CF9AE}" pid="4" name="Languages">
    <vt:lpwstr/>
  </property>
  <property fmtid="{D5CDD505-2E9C-101B-9397-08002B2CF9AE}" pid="5" name="p5514218fd064764993fc7f005d66e34">
    <vt:lpwstr/>
  </property>
  <property fmtid="{D5CDD505-2E9C-101B-9397-08002B2CF9AE}" pid="6" name="nd8a4f3b4df3473d8008d70ef4499b5e">
    <vt:lpwstr/>
  </property>
  <property fmtid="{D5CDD505-2E9C-101B-9397-08002B2CF9AE}" pid="7" name="Medium Type">
    <vt:lpwstr/>
  </property>
  <property fmtid="{D5CDD505-2E9C-101B-9397-08002B2CF9AE}" pid="8" name="Service1">
    <vt:lpwstr>77;#Telecom And Media|0d70e459-47d9-475b-bd99-b3a781cfdf71</vt:lpwstr>
  </property>
  <property fmtid="{D5CDD505-2E9C-101B-9397-08002B2CF9AE}" pid="9" name="Answer_x0020_or_x0020_Initiative">
    <vt:lpwstr/>
  </property>
  <property fmtid="{D5CDD505-2E9C-101B-9397-08002B2CF9AE}" pid="10" name="Document_x0020_Type">
    <vt:lpwstr/>
  </property>
  <property fmtid="{D5CDD505-2E9C-101B-9397-08002B2CF9AE}" pid="11" name="Answer or Initiative">
    <vt:lpwstr/>
  </property>
  <property fmtid="{D5CDD505-2E9C-101B-9397-08002B2CF9AE}" pid="12" name="Document Type">
    <vt:lpwstr/>
  </property>
  <property fmtid="{D5CDD505-2E9C-101B-9397-08002B2CF9AE}" pid="13" name="Telecom_x0020_Document_x0020_Type">
    <vt:lpwstr/>
  </property>
  <property fmtid="{D5CDD505-2E9C-101B-9397-08002B2CF9AE}" pid="14" name="Telecom Document Type">
    <vt:lpwstr/>
  </property>
</Properties>
</file>